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CA" w:rsidRPr="00DE034B" w:rsidRDefault="00C4257B">
      <w:pPr>
        <w:pBdr>
          <w:top w:val="nil"/>
          <w:left w:val="nil"/>
          <w:bottom w:val="nil"/>
          <w:right w:val="nil"/>
          <w:between w:val="nil"/>
        </w:pBdr>
        <w:jc w:val="center"/>
        <w:rPr>
          <w:rFonts w:ascii="Arial" w:eastAsia="Arial" w:hAnsi="Arial" w:cs="Arial"/>
          <w:b/>
          <w:color w:val="000000"/>
          <w:sz w:val="20"/>
          <w:szCs w:val="20"/>
          <w:u w:val="single"/>
        </w:rPr>
      </w:pPr>
      <w:r w:rsidRPr="00DE034B">
        <w:rPr>
          <w:rFonts w:ascii="Arial" w:eastAsia="Arial" w:hAnsi="Arial" w:cs="Arial"/>
          <w:b/>
          <w:color w:val="000000"/>
          <w:sz w:val="20"/>
          <w:szCs w:val="20"/>
          <w:u w:val="single"/>
        </w:rPr>
        <w:t>Anexo 1</w:t>
      </w:r>
    </w:p>
    <w:p w:rsidR="00DF70CA" w:rsidRPr="00DE034B" w:rsidRDefault="00DF70CA">
      <w:pPr>
        <w:pBdr>
          <w:top w:val="nil"/>
          <w:left w:val="nil"/>
          <w:bottom w:val="nil"/>
          <w:right w:val="nil"/>
          <w:between w:val="nil"/>
        </w:pBdr>
        <w:ind w:firstLine="708"/>
        <w:jc w:val="right"/>
        <w:rPr>
          <w:rFonts w:ascii="Arial" w:eastAsia="Arial" w:hAnsi="Arial" w:cs="Arial"/>
          <w:b/>
          <w:color w:val="000000"/>
          <w:sz w:val="20"/>
          <w:szCs w:val="20"/>
        </w:rPr>
      </w:pPr>
    </w:p>
    <w:p w:rsidR="00DF70CA" w:rsidRPr="00DE034B" w:rsidRDefault="00C4257B">
      <w:pPr>
        <w:pBdr>
          <w:top w:val="nil"/>
          <w:left w:val="nil"/>
          <w:bottom w:val="nil"/>
          <w:right w:val="nil"/>
          <w:between w:val="nil"/>
        </w:pBdr>
        <w:ind w:firstLine="708"/>
        <w:jc w:val="right"/>
        <w:rPr>
          <w:rFonts w:ascii="Arial" w:eastAsia="Arial" w:hAnsi="Arial" w:cs="Arial"/>
          <w:b/>
          <w:color w:val="000000"/>
          <w:sz w:val="20"/>
          <w:szCs w:val="20"/>
        </w:rPr>
      </w:pPr>
      <w:r w:rsidRPr="00DE034B">
        <w:rPr>
          <w:rFonts w:ascii="Arial" w:eastAsia="Arial" w:hAnsi="Arial" w:cs="Arial"/>
          <w:b/>
          <w:color w:val="000000"/>
          <w:sz w:val="20"/>
          <w:szCs w:val="20"/>
        </w:rPr>
        <w:t xml:space="preserve">Guadalajara, Jalisco, </w:t>
      </w:r>
      <w:r w:rsidRPr="00DE034B">
        <w:rPr>
          <w:rFonts w:ascii="Arial" w:eastAsia="Arial" w:hAnsi="Arial" w:cs="Arial"/>
          <w:b/>
          <w:sz w:val="20"/>
          <w:szCs w:val="20"/>
        </w:rPr>
        <w:t>24</w:t>
      </w:r>
      <w:r w:rsidRPr="00DE034B">
        <w:rPr>
          <w:rFonts w:ascii="Arial" w:eastAsia="Arial" w:hAnsi="Arial" w:cs="Arial"/>
          <w:b/>
          <w:color w:val="000000"/>
          <w:sz w:val="20"/>
          <w:szCs w:val="20"/>
        </w:rPr>
        <w:t xml:space="preserve"> de septiembre</w:t>
      </w:r>
      <w:r w:rsidRPr="00DE034B">
        <w:rPr>
          <w:rFonts w:ascii="Arial" w:eastAsia="Arial" w:hAnsi="Arial" w:cs="Arial"/>
          <w:b/>
          <w:color w:val="000000"/>
          <w:sz w:val="20"/>
          <w:szCs w:val="20"/>
        </w:rPr>
        <w:t xml:space="preserve"> de 2019</w:t>
      </w:r>
    </w:p>
    <w:p w:rsidR="00DF70CA" w:rsidRPr="00DE034B" w:rsidRDefault="00DF70CA">
      <w:pPr>
        <w:pBdr>
          <w:top w:val="nil"/>
          <w:left w:val="nil"/>
          <w:bottom w:val="nil"/>
          <w:right w:val="nil"/>
          <w:between w:val="nil"/>
        </w:pBdr>
        <w:jc w:val="both"/>
        <w:rPr>
          <w:rFonts w:ascii="Arial" w:eastAsia="Arial" w:hAnsi="Arial" w:cs="Arial"/>
          <w:b/>
          <w:color w:val="000000"/>
          <w:sz w:val="20"/>
          <w:szCs w:val="20"/>
        </w:rPr>
      </w:pPr>
    </w:p>
    <w:p w:rsidR="00DF70CA" w:rsidRPr="00DE034B" w:rsidRDefault="00C4257B">
      <w:pPr>
        <w:pBdr>
          <w:top w:val="nil"/>
          <w:left w:val="nil"/>
          <w:bottom w:val="nil"/>
          <w:right w:val="nil"/>
          <w:between w:val="nil"/>
        </w:pBdr>
        <w:jc w:val="both"/>
        <w:rPr>
          <w:rFonts w:ascii="Arial" w:eastAsia="Arial" w:hAnsi="Arial" w:cs="Arial"/>
          <w:b/>
          <w:color w:val="000000"/>
          <w:sz w:val="20"/>
          <w:szCs w:val="20"/>
        </w:rPr>
      </w:pPr>
      <w:r w:rsidRPr="00DE034B">
        <w:rPr>
          <w:rFonts w:ascii="Arial" w:eastAsia="Arial" w:hAnsi="Arial" w:cs="Arial"/>
          <w:b/>
          <w:color w:val="000000"/>
          <w:sz w:val="20"/>
          <w:szCs w:val="20"/>
        </w:rPr>
        <w:t>C.P.C. Juan Partida Morales</w:t>
      </w:r>
    </w:p>
    <w:p w:rsidR="00DF70CA" w:rsidRPr="00DE034B" w:rsidRDefault="00C4257B">
      <w:pPr>
        <w:pBdr>
          <w:top w:val="nil"/>
          <w:left w:val="nil"/>
          <w:bottom w:val="nil"/>
          <w:right w:val="nil"/>
          <w:between w:val="nil"/>
        </w:pBdr>
        <w:jc w:val="both"/>
        <w:rPr>
          <w:rFonts w:ascii="Arial" w:eastAsia="Arial" w:hAnsi="Arial" w:cs="Arial"/>
          <w:b/>
          <w:color w:val="000000"/>
          <w:sz w:val="20"/>
          <w:szCs w:val="20"/>
        </w:rPr>
      </w:pPr>
      <w:r w:rsidRPr="00DE034B">
        <w:rPr>
          <w:rFonts w:ascii="Arial" w:eastAsia="Arial" w:hAnsi="Arial" w:cs="Arial"/>
          <w:b/>
          <w:color w:val="000000"/>
          <w:sz w:val="20"/>
          <w:szCs w:val="20"/>
        </w:rPr>
        <w:t>Secretario de la Hacienda Pública</w:t>
      </w:r>
    </w:p>
    <w:p w:rsidR="00DF70CA" w:rsidRPr="00DE034B" w:rsidRDefault="00C4257B">
      <w:pPr>
        <w:pBdr>
          <w:top w:val="nil"/>
          <w:left w:val="nil"/>
          <w:bottom w:val="nil"/>
          <w:right w:val="nil"/>
          <w:between w:val="nil"/>
        </w:pBdr>
        <w:jc w:val="both"/>
        <w:rPr>
          <w:rFonts w:ascii="Arial" w:eastAsia="Arial" w:hAnsi="Arial" w:cs="Arial"/>
          <w:b/>
          <w:color w:val="000000"/>
          <w:sz w:val="20"/>
          <w:szCs w:val="20"/>
        </w:rPr>
      </w:pPr>
      <w:r w:rsidRPr="00DE034B">
        <w:rPr>
          <w:rFonts w:ascii="Arial" w:eastAsia="Arial" w:hAnsi="Arial" w:cs="Arial"/>
          <w:b/>
          <w:color w:val="000000"/>
          <w:sz w:val="20"/>
          <w:szCs w:val="20"/>
        </w:rPr>
        <w:t>Gobierno del Estado de Jalisco</w:t>
      </w:r>
    </w:p>
    <w:p w:rsidR="00DF70CA" w:rsidRPr="00DE034B" w:rsidRDefault="00DF70CA">
      <w:pPr>
        <w:pBdr>
          <w:top w:val="nil"/>
          <w:left w:val="nil"/>
          <w:bottom w:val="nil"/>
          <w:right w:val="nil"/>
          <w:between w:val="nil"/>
        </w:pBdr>
        <w:jc w:val="both"/>
        <w:rPr>
          <w:rFonts w:ascii="Arial" w:eastAsia="Arial" w:hAnsi="Arial" w:cs="Arial"/>
          <w:color w:val="000000"/>
          <w:sz w:val="20"/>
          <w:szCs w:val="20"/>
        </w:rPr>
      </w:pPr>
    </w:p>
    <w:p w:rsidR="00DF70CA" w:rsidRPr="00DE034B" w:rsidRDefault="00C4257B">
      <w:pPr>
        <w:pBdr>
          <w:top w:val="nil"/>
          <w:left w:val="nil"/>
          <w:bottom w:val="nil"/>
          <w:right w:val="nil"/>
          <w:between w:val="nil"/>
        </w:pBdr>
        <w:jc w:val="both"/>
        <w:rPr>
          <w:rFonts w:ascii="Arial" w:eastAsia="Arial" w:hAnsi="Arial" w:cs="Arial"/>
          <w:color w:val="000000"/>
          <w:sz w:val="20"/>
          <w:szCs w:val="20"/>
        </w:rPr>
      </w:pPr>
      <w:bookmarkStart w:id="0" w:name="_gjdgxs" w:colFirst="0" w:colLast="0"/>
      <w:bookmarkEnd w:id="0"/>
      <w:r w:rsidRPr="00DE034B">
        <w:rPr>
          <w:rFonts w:ascii="Arial" w:eastAsia="Arial" w:hAnsi="Arial" w:cs="Arial"/>
          <w:color w:val="000000"/>
          <w:sz w:val="20"/>
          <w:szCs w:val="20"/>
        </w:rPr>
        <w:t>(*)</w:t>
      </w:r>
      <w:r w:rsidRPr="00DE034B">
        <w:rPr>
          <w:rFonts w:ascii="Arial" w:eastAsia="Arial" w:hAnsi="Arial" w:cs="Arial"/>
          <w:color w:val="000000"/>
          <w:sz w:val="20"/>
          <w:szCs w:val="20"/>
        </w:rPr>
        <w:t xml:space="preserve"> en mi carácter de representante legal [</w:t>
      </w:r>
      <w:r w:rsidRPr="00DE034B">
        <w:rPr>
          <w:rFonts w:ascii="Arial" w:eastAsia="Arial" w:hAnsi="Arial" w:cs="Arial"/>
          <w:color w:val="000000"/>
          <w:sz w:val="20"/>
          <w:szCs w:val="20"/>
        </w:rPr>
        <w:t>(*) y (*),</w:t>
      </w:r>
      <w:r w:rsidRPr="00DE034B">
        <w:rPr>
          <w:rFonts w:ascii="Arial" w:eastAsia="Arial" w:hAnsi="Arial" w:cs="Arial"/>
          <w:color w:val="000000"/>
          <w:sz w:val="20"/>
          <w:szCs w:val="20"/>
        </w:rPr>
        <w:t xml:space="preserve"> en nuestro carácter de representantes legales] de </w:t>
      </w:r>
      <w:r w:rsidRPr="00DE034B">
        <w:rPr>
          <w:rFonts w:ascii="Arial" w:eastAsia="Arial" w:hAnsi="Arial" w:cs="Arial"/>
          <w:color w:val="000000"/>
          <w:sz w:val="20"/>
          <w:szCs w:val="20"/>
        </w:rPr>
        <w:t>(*)</w:t>
      </w:r>
      <w:r w:rsidRPr="00DE034B">
        <w:rPr>
          <w:rFonts w:ascii="Arial" w:eastAsia="Arial" w:hAnsi="Arial" w:cs="Arial"/>
          <w:color w:val="000000"/>
          <w:sz w:val="20"/>
          <w:szCs w:val="20"/>
        </w:rPr>
        <w:t xml:space="preserve"> en nombre de nuestra representada, con el propósito de dar cumplimiento a lo establecido en la Convocatoria al Proceso Competitivo mediante licitación pública No. </w:t>
      </w:r>
      <w:r w:rsidRPr="00DE034B">
        <w:rPr>
          <w:rFonts w:ascii="Arial" w:eastAsia="Arial" w:hAnsi="Arial" w:cs="Arial"/>
          <w:sz w:val="20"/>
          <w:szCs w:val="20"/>
        </w:rPr>
        <w:t>157/2019</w:t>
      </w:r>
      <w:r w:rsidRPr="00DE034B">
        <w:rPr>
          <w:rFonts w:ascii="Arial" w:eastAsia="Arial" w:hAnsi="Arial" w:cs="Arial"/>
          <w:color w:val="000000"/>
          <w:sz w:val="20"/>
          <w:szCs w:val="20"/>
        </w:rPr>
        <w:t xml:space="preserve"> de fecha </w:t>
      </w:r>
      <w:r w:rsidRPr="00DE034B">
        <w:rPr>
          <w:rFonts w:ascii="Arial" w:eastAsia="Arial" w:hAnsi="Arial" w:cs="Arial"/>
          <w:sz w:val="20"/>
          <w:szCs w:val="20"/>
        </w:rPr>
        <w:t>20</w:t>
      </w:r>
      <w:r w:rsidRPr="00DE034B">
        <w:rPr>
          <w:rFonts w:ascii="Arial" w:eastAsia="Arial" w:hAnsi="Arial" w:cs="Arial"/>
          <w:color w:val="000000"/>
          <w:sz w:val="20"/>
          <w:szCs w:val="20"/>
        </w:rPr>
        <w:t xml:space="preserve"> de septiembre</w:t>
      </w:r>
      <w:r w:rsidRPr="00DE034B">
        <w:rPr>
          <w:rFonts w:ascii="Arial" w:eastAsia="Arial" w:hAnsi="Arial" w:cs="Arial"/>
          <w:color w:val="000000"/>
          <w:sz w:val="20"/>
          <w:szCs w:val="20"/>
        </w:rPr>
        <w:t xml:space="preserve"> de 2019 para la contratación de Instrumentos Derivados</w:t>
      </w:r>
      <w:r w:rsidRPr="00DE034B">
        <w:rPr>
          <w:rFonts w:ascii="Arial" w:eastAsia="Arial" w:hAnsi="Arial" w:cs="Arial"/>
          <w:color w:val="000000"/>
          <w:sz w:val="20"/>
          <w:szCs w:val="20"/>
        </w:rPr>
        <w:t>, a través de la formalización de uno o varios contratos de intercambio de flujos (“Swaps”) con el objeto de mitigar los riesgos de la tasa de interés asociada al mercado de dinero de los Financiamientos constitutivos de deuda pública directa de largo plaz</w:t>
      </w:r>
      <w:r w:rsidRPr="00DE034B">
        <w:rPr>
          <w:rFonts w:ascii="Arial" w:eastAsia="Arial" w:hAnsi="Arial" w:cs="Arial"/>
          <w:color w:val="000000"/>
          <w:sz w:val="20"/>
          <w:szCs w:val="20"/>
        </w:rPr>
        <w:t xml:space="preserve">o del Estado de Jalisco, por este medio presentamos nuestra Oferta Irrevocable, Incondicional y en Firme de los Instrumentos Derivados correspondiente a los Contratos de Crédito que se señalan en la presente, en términos de lo siguiente: </w:t>
      </w:r>
    </w:p>
    <w:p w:rsidR="00DF70CA" w:rsidRPr="00DE034B" w:rsidRDefault="00DF70CA">
      <w:pPr>
        <w:pBdr>
          <w:top w:val="nil"/>
          <w:left w:val="nil"/>
          <w:bottom w:val="nil"/>
          <w:right w:val="nil"/>
          <w:between w:val="nil"/>
        </w:pBdr>
        <w:jc w:val="both"/>
        <w:rPr>
          <w:rFonts w:ascii="Arial" w:eastAsia="Arial" w:hAnsi="Arial" w:cs="Arial"/>
          <w:color w:val="000000"/>
          <w:sz w:val="20"/>
          <w:szCs w:val="20"/>
        </w:rPr>
      </w:pPr>
    </w:p>
    <w:p w:rsidR="00DF70CA" w:rsidRPr="00DE034B" w:rsidRDefault="00C4257B">
      <w:pPr>
        <w:pBdr>
          <w:top w:val="nil"/>
          <w:left w:val="nil"/>
          <w:bottom w:val="nil"/>
          <w:right w:val="nil"/>
          <w:between w:val="nil"/>
        </w:pBdr>
        <w:jc w:val="both"/>
        <w:rPr>
          <w:rFonts w:ascii="Arial" w:eastAsia="Arial" w:hAnsi="Arial" w:cs="Arial"/>
          <w:color w:val="000000"/>
          <w:sz w:val="20"/>
          <w:szCs w:val="20"/>
        </w:rPr>
      </w:pPr>
      <w:r w:rsidRPr="00DE034B">
        <w:rPr>
          <w:rFonts w:ascii="Arial" w:eastAsia="Arial" w:hAnsi="Arial" w:cs="Arial"/>
          <w:color w:val="000000"/>
          <w:sz w:val="20"/>
          <w:szCs w:val="20"/>
        </w:rPr>
        <w:t>Los términos con</w:t>
      </w:r>
      <w:r w:rsidRPr="00DE034B">
        <w:rPr>
          <w:rFonts w:ascii="Arial" w:eastAsia="Arial" w:hAnsi="Arial" w:cs="Arial"/>
          <w:color w:val="000000"/>
          <w:sz w:val="20"/>
          <w:szCs w:val="20"/>
        </w:rPr>
        <w:t xml:space="preserve"> mayúscula inicial que no se encuentren definidos en la presente, tendrán el significado que se les atribuye en la Ley de Disciplina Financiera y/o los Lineamientos y/o la Convocatoria al proceso competitivo mediante licitación pública No. </w:t>
      </w:r>
      <w:r w:rsidRPr="00DE034B">
        <w:rPr>
          <w:rFonts w:ascii="Arial" w:eastAsia="Arial" w:hAnsi="Arial" w:cs="Arial"/>
          <w:sz w:val="20"/>
          <w:szCs w:val="20"/>
        </w:rPr>
        <w:t>157/2019</w:t>
      </w:r>
      <w:r w:rsidRPr="00DE034B">
        <w:rPr>
          <w:rFonts w:ascii="Arial" w:eastAsia="Arial" w:hAnsi="Arial" w:cs="Arial"/>
          <w:color w:val="000000"/>
          <w:sz w:val="20"/>
          <w:szCs w:val="20"/>
        </w:rPr>
        <w:t xml:space="preserve"> de fech</w:t>
      </w:r>
      <w:r w:rsidRPr="00DE034B">
        <w:rPr>
          <w:rFonts w:ascii="Arial" w:eastAsia="Arial" w:hAnsi="Arial" w:cs="Arial"/>
          <w:color w:val="000000"/>
          <w:sz w:val="20"/>
          <w:szCs w:val="20"/>
        </w:rPr>
        <w:t xml:space="preserve">a </w:t>
      </w:r>
      <w:r w:rsidRPr="00DE034B">
        <w:rPr>
          <w:rFonts w:ascii="Arial" w:eastAsia="Arial" w:hAnsi="Arial" w:cs="Arial"/>
          <w:sz w:val="20"/>
          <w:szCs w:val="20"/>
        </w:rPr>
        <w:t>20</w:t>
      </w:r>
      <w:r w:rsidRPr="00DE034B">
        <w:rPr>
          <w:rFonts w:ascii="Arial" w:eastAsia="Arial" w:hAnsi="Arial" w:cs="Arial"/>
          <w:color w:val="000000"/>
          <w:sz w:val="20"/>
          <w:szCs w:val="20"/>
        </w:rPr>
        <w:t xml:space="preserve"> de septiembre</w:t>
      </w:r>
      <w:r w:rsidRPr="00DE034B">
        <w:rPr>
          <w:rFonts w:ascii="Arial" w:eastAsia="Arial" w:hAnsi="Arial" w:cs="Arial"/>
          <w:color w:val="000000"/>
          <w:sz w:val="20"/>
          <w:szCs w:val="20"/>
        </w:rPr>
        <w:t xml:space="preserve"> de 2019 y podrán ser empleados en singular o plural según lo requiera el texto.</w:t>
      </w:r>
    </w:p>
    <w:p w:rsidR="00DF70CA" w:rsidRPr="00DE034B" w:rsidRDefault="00DF70CA">
      <w:pPr>
        <w:pBdr>
          <w:top w:val="nil"/>
          <w:left w:val="nil"/>
          <w:bottom w:val="nil"/>
          <w:right w:val="nil"/>
          <w:between w:val="nil"/>
        </w:pBdr>
        <w:ind w:firstLine="360"/>
        <w:jc w:val="both"/>
        <w:rPr>
          <w:rFonts w:ascii="Arial" w:eastAsia="Arial" w:hAnsi="Arial" w:cs="Arial"/>
          <w:color w:val="000000"/>
          <w:sz w:val="22"/>
          <w:szCs w:val="22"/>
        </w:rPr>
      </w:pPr>
    </w:p>
    <w:tbl>
      <w:tblPr>
        <w:tblStyle w:val="a"/>
        <w:tblW w:w="127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297"/>
      </w:tblGrid>
      <w:tr w:rsidR="00DF70CA" w:rsidRPr="00DE034B">
        <w:trPr>
          <w:jc w:val="center"/>
        </w:trPr>
        <w:tc>
          <w:tcPr>
            <w:tcW w:w="12710" w:type="dxa"/>
            <w:gridSpan w:val="2"/>
            <w:tcBorders>
              <w:top w:val="single" w:sz="4" w:space="0" w:color="000000"/>
              <w:left w:val="single" w:sz="4" w:space="0" w:color="000000"/>
              <w:bottom w:val="single" w:sz="4" w:space="0" w:color="000000"/>
              <w:right w:val="single" w:sz="4" w:space="0" w:color="000000"/>
            </w:tcBorders>
          </w:tcPr>
          <w:p w:rsidR="00DF70CA" w:rsidRPr="00DE034B" w:rsidRDefault="00C4257B">
            <w:pPr>
              <w:pBdr>
                <w:top w:val="nil"/>
                <w:left w:val="nil"/>
                <w:bottom w:val="nil"/>
                <w:right w:val="nil"/>
                <w:between w:val="nil"/>
              </w:pBdr>
              <w:spacing w:before="120" w:after="120"/>
              <w:ind w:firstLine="360"/>
              <w:jc w:val="center"/>
              <w:rPr>
                <w:rFonts w:ascii="Arial" w:eastAsia="Arial" w:hAnsi="Arial" w:cs="Arial"/>
                <w:b/>
                <w:color w:val="000000"/>
                <w:sz w:val="18"/>
                <w:szCs w:val="18"/>
              </w:rPr>
            </w:pPr>
            <w:r w:rsidRPr="00DE034B">
              <w:rPr>
                <w:rFonts w:ascii="Arial" w:eastAsia="Arial" w:hAnsi="Arial" w:cs="Arial"/>
                <w:b/>
                <w:color w:val="000000"/>
                <w:sz w:val="20"/>
                <w:szCs w:val="20"/>
              </w:rPr>
              <w:t>Características Generales de la Oferta</w:t>
            </w:r>
          </w:p>
        </w:tc>
      </w:tr>
      <w:tr w:rsidR="00DF70CA" w:rsidRPr="00DE034B">
        <w:trPr>
          <w:trHeight w:val="440"/>
          <w:jc w:val="center"/>
        </w:trPr>
        <w:tc>
          <w:tcPr>
            <w:tcW w:w="1413" w:type="dxa"/>
            <w:tcBorders>
              <w:top w:val="single" w:sz="4" w:space="0" w:color="000000"/>
              <w:left w:val="single" w:sz="4" w:space="0" w:color="000000"/>
              <w:bottom w:val="single" w:sz="4" w:space="0" w:color="000000"/>
              <w:right w:val="single" w:sz="4" w:space="0" w:color="000000"/>
            </w:tcBorders>
          </w:tcPr>
          <w:p w:rsidR="00DF70CA" w:rsidRPr="00DE034B" w:rsidRDefault="00C4257B">
            <w:pPr>
              <w:spacing w:before="120" w:after="120"/>
              <w:rPr>
                <w:rFonts w:ascii="Arial" w:eastAsia="Arial" w:hAnsi="Arial" w:cs="Arial"/>
                <w:sz w:val="18"/>
                <w:szCs w:val="18"/>
              </w:rPr>
            </w:pPr>
            <w:r w:rsidRPr="00DE034B">
              <w:rPr>
                <w:rFonts w:ascii="Arial" w:eastAsia="Arial" w:hAnsi="Arial" w:cs="Arial"/>
                <w:sz w:val="18"/>
                <w:szCs w:val="18"/>
              </w:rPr>
              <w:t>Tipo de Instrumento Derivado:</w:t>
            </w:r>
          </w:p>
        </w:tc>
        <w:tc>
          <w:tcPr>
            <w:tcW w:w="11297" w:type="dxa"/>
            <w:tcBorders>
              <w:top w:val="single" w:sz="4" w:space="0" w:color="000000"/>
              <w:left w:val="single" w:sz="4" w:space="0" w:color="000000"/>
              <w:bottom w:val="single" w:sz="4" w:space="0" w:color="000000"/>
              <w:right w:val="single" w:sz="4" w:space="0" w:color="000000"/>
            </w:tcBorders>
          </w:tcPr>
          <w:p w:rsidR="00DF70CA" w:rsidRPr="00DE034B" w:rsidRDefault="00C4257B">
            <w:pPr>
              <w:spacing w:before="120" w:after="120"/>
              <w:jc w:val="both"/>
              <w:rPr>
                <w:rFonts w:ascii="Arial" w:eastAsia="Arial" w:hAnsi="Arial" w:cs="Arial"/>
                <w:sz w:val="18"/>
                <w:szCs w:val="18"/>
              </w:rPr>
            </w:pPr>
            <w:r w:rsidRPr="00DE034B">
              <w:rPr>
                <w:rFonts w:ascii="Arial" w:eastAsia="Arial" w:hAnsi="Arial" w:cs="Arial"/>
                <w:sz w:val="18"/>
                <w:szCs w:val="18"/>
              </w:rPr>
              <w:t>Contrato de intercambio de flujos “</w:t>
            </w:r>
            <w:r w:rsidRPr="00DE034B">
              <w:rPr>
                <w:rFonts w:ascii="Arial" w:eastAsia="Arial" w:hAnsi="Arial" w:cs="Arial"/>
                <w:i/>
                <w:sz w:val="18"/>
                <w:szCs w:val="18"/>
              </w:rPr>
              <w:t>swaps</w:t>
            </w:r>
            <w:r w:rsidRPr="00DE034B">
              <w:rPr>
                <w:rFonts w:ascii="Arial" w:eastAsia="Arial" w:hAnsi="Arial" w:cs="Arial"/>
                <w:sz w:val="18"/>
                <w:szCs w:val="18"/>
              </w:rPr>
              <w:t>” respecto de la TIIE a plazo de 28 (veintiocho) días (MXN IRS TIIE 28D), como “Tasa de Referencia”, sin llamada mutua de margen.</w:t>
            </w:r>
          </w:p>
        </w:tc>
      </w:tr>
      <w:tr w:rsidR="00DF70CA" w:rsidRPr="00DE034B">
        <w:trPr>
          <w:jc w:val="center"/>
        </w:trPr>
        <w:tc>
          <w:tcPr>
            <w:tcW w:w="1413" w:type="dxa"/>
            <w:tcBorders>
              <w:top w:val="single" w:sz="4" w:space="0" w:color="000000"/>
              <w:left w:val="single" w:sz="4" w:space="0" w:color="000000"/>
              <w:bottom w:val="single" w:sz="4" w:space="0" w:color="000000"/>
              <w:right w:val="single" w:sz="4" w:space="0" w:color="000000"/>
            </w:tcBorders>
          </w:tcPr>
          <w:p w:rsidR="00DF70CA" w:rsidRPr="00DE034B" w:rsidRDefault="00C4257B">
            <w:pPr>
              <w:spacing w:before="120" w:after="120"/>
              <w:rPr>
                <w:rFonts w:ascii="Arial" w:eastAsia="Arial" w:hAnsi="Arial" w:cs="Arial"/>
                <w:sz w:val="18"/>
                <w:szCs w:val="18"/>
              </w:rPr>
            </w:pPr>
            <w:r w:rsidRPr="00DE034B">
              <w:rPr>
                <w:rFonts w:ascii="Arial" w:eastAsia="Arial" w:hAnsi="Arial" w:cs="Arial"/>
                <w:sz w:val="18"/>
                <w:szCs w:val="18"/>
              </w:rPr>
              <w:t xml:space="preserve">Contratos de Crédito a cubrir </w:t>
            </w:r>
          </w:p>
        </w:tc>
        <w:tc>
          <w:tcPr>
            <w:tcW w:w="11297" w:type="dxa"/>
            <w:tcBorders>
              <w:top w:val="single" w:sz="4" w:space="0" w:color="000000"/>
              <w:left w:val="single" w:sz="4" w:space="0" w:color="000000"/>
              <w:bottom w:val="single" w:sz="4" w:space="0" w:color="000000"/>
              <w:right w:val="single" w:sz="4" w:space="0" w:color="000000"/>
            </w:tcBorders>
          </w:tcPr>
          <w:p w:rsidR="00DF70CA" w:rsidRPr="00DE034B" w:rsidRDefault="00C4257B">
            <w:pPr>
              <w:numPr>
                <w:ilvl w:val="0"/>
                <w:numId w:val="1"/>
              </w:numPr>
              <w:spacing w:after="240"/>
              <w:jc w:val="both"/>
              <w:rPr>
                <w:rFonts w:ascii="Times New Roman" w:eastAsia="Times New Roman" w:hAnsi="Times New Roman" w:cs="Times New Roman"/>
                <w:i/>
                <w:sz w:val="18"/>
                <w:szCs w:val="18"/>
              </w:rPr>
            </w:pPr>
            <w:r w:rsidRPr="00DE034B">
              <w:rPr>
                <w:rFonts w:ascii="Arial" w:eastAsia="Arial" w:hAnsi="Arial" w:cs="Arial"/>
                <w:b/>
                <w:i/>
                <w:sz w:val="18"/>
                <w:szCs w:val="18"/>
              </w:rPr>
              <w:t>Contrato de Crédito BANCOMER 1:</w:t>
            </w:r>
            <w:r w:rsidRPr="00DE034B">
              <w:rPr>
                <w:rFonts w:ascii="Arial" w:eastAsia="Arial" w:hAnsi="Arial" w:cs="Arial"/>
                <w:i/>
                <w:sz w:val="18"/>
                <w:szCs w:val="18"/>
              </w:rPr>
              <w:t xml:space="preserve"> significa el Contrato de Apertura de Crédito Simple celebrado </w:t>
            </w:r>
            <w:r w:rsidRPr="00DE034B">
              <w:rPr>
                <w:rFonts w:ascii="Arial" w:eastAsia="Arial" w:hAnsi="Arial" w:cs="Arial"/>
                <w:i/>
                <w:sz w:val="18"/>
                <w:szCs w:val="18"/>
              </w:rPr>
              <w:t>entre el Estado de Jalisco como Acreditado y BBVA Bancomer, S.A., Institución de Banca Múltiple, Grupo Financiero BBVA Bancomer como Acreditante de fecha 26 de julio de 2019, por un monto de hasta $1,000’000,000.00 (Un mil millones de pesos 00/100 M.N.), s</w:t>
            </w:r>
            <w:r w:rsidRPr="00DE034B">
              <w:rPr>
                <w:rFonts w:ascii="Arial" w:eastAsia="Arial" w:hAnsi="Arial" w:cs="Arial"/>
                <w:i/>
                <w:sz w:val="18"/>
                <w:szCs w:val="18"/>
              </w:rPr>
              <w:t>egún el mismo sea modificado de tiempo en tiempo, con clave de inscripción en el Registro Público Único de Financiamientos y Obligaciones de Entidades Federativas y Municipios No. P14-0819021 de fecha 19 de agosto de 2019, con número de inscripción en el R</w:t>
            </w:r>
            <w:r w:rsidRPr="00DE034B">
              <w:rPr>
                <w:rFonts w:ascii="Arial" w:eastAsia="Arial" w:hAnsi="Arial" w:cs="Arial"/>
                <w:i/>
                <w:sz w:val="18"/>
                <w:szCs w:val="18"/>
              </w:rPr>
              <w:t xml:space="preserve">egistro Estatal de Obligaciones de los Entes Públicos del Estado de Jalisco y sus Municipios 018/2019 de fecha 29 de julio de 2019. Cuyo saldo insoluto al </w:t>
            </w:r>
            <w:r w:rsidRPr="00DE034B">
              <w:rPr>
                <w:rFonts w:ascii="Arial" w:eastAsia="Arial" w:hAnsi="Arial" w:cs="Arial"/>
                <w:i/>
                <w:sz w:val="18"/>
                <w:szCs w:val="18"/>
              </w:rPr>
              <w:t>24 de septiembre de 2019</w:t>
            </w:r>
            <w:r w:rsidRPr="00DE034B">
              <w:rPr>
                <w:rFonts w:ascii="Arial" w:eastAsia="Arial" w:hAnsi="Arial" w:cs="Arial"/>
                <w:i/>
                <w:sz w:val="18"/>
                <w:szCs w:val="18"/>
              </w:rPr>
              <w:t xml:space="preserve"> ascenderá a $1,000’000,000.00 (Un mil millones de pesos 00/100 M.N.).</w:t>
            </w:r>
          </w:p>
          <w:p w:rsidR="00DF70CA" w:rsidRPr="00DE034B" w:rsidRDefault="00C4257B">
            <w:pPr>
              <w:numPr>
                <w:ilvl w:val="0"/>
                <w:numId w:val="1"/>
              </w:numPr>
              <w:spacing w:after="240"/>
              <w:jc w:val="both"/>
              <w:rPr>
                <w:rFonts w:ascii="Times New Roman" w:eastAsia="Times New Roman" w:hAnsi="Times New Roman" w:cs="Times New Roman"/>
                <w:i/>
                <w:sz w:val="18"/>
                <w:szCs w:val="18"/>
              </w:rPr>
            </w:pPr>
            <w:r w:rsidRPr="00DE034B">
              <w:rPr>
                <w:rFonts w:ascii="Arial" w:eastAsia="Arial" w:hAnsi="Arial" w:cs="Arial"/>
                <w:b/>
                <w:i/>
                <w:sz w:val="18"/>
                <w:szCs w:val="18"/>
              </w:rPr>
              <w:t>Contra</w:t>
            </w:r>
            <w:r w:rsidRPr="00DE034B">
              <w:rPr>
                <w:rFonts w:ascii="Arial" w:eastAsia="Arial" w:hAnsi="Arial" w:cs="Arial"/>
                <w:b/>
                <w:i/>
                <w:sz w:val="18"/>
                <w:szCs w:val="18"/>
              </w:rPr>
              <w:t>to de Crédito BANCOMER 2:</w:t>
            </w:r>
            <w:r w:rsidRPr="00DE034B">
              <w:rPr>
                <w:rFonts w:ascii="Arial" w:eastAsia="Arial" w:hAnsi="Arial" w:cs="Arial"/>
                <w:i/>
                <w:sz w:val="18"/>
                <w:szCs w:val="18"/>
              </w:rPr>
              <w:t xml:space="preserve"> significa el Contrato de Apertura de Crédito Simple celebrado entre el Estado de Jalisco como Acreditado y BBVA Bancomer, S.A., Institución de Banca Múltiple, Grupo Financiero BBVA Bancomer como Acreditante de fecha 26 de julio de</w:t>
            </w:r>
            <w:r w:rsidRPr="00DE034B">
              <w:rPr>
                <w:rFonts w:ascii="Arial" w:eastAsia="Arial" w:hAnsi="Arial" w:cs="Arial"/>
                <w:i/>
                <w:sz w:val="18"/>
                <w:szCs w:val="18"/>
              </w:rPr>
              <w:t xml:space="preserve"> 2019, por un monto de hasta $2,000’000,000.00 (Dos mil millones de pesos 00/100 M.N.), según el mismo sea modificado de tiempo en tiempo, con clave de inscripción en el Registro Público Único de Financiamientos y Obligaciones de Entidades Federativas y Mu</w:t>
            </w:r>
            <w:r w:rsidRPr="00DE034B">
              <w:rPr>
                <w:rFonts w:ascii="Arial" w:eastAsia="Arial" w:hAnsi="Arial" w:cs="Arial"/>
                <w:i/>
                <w:sz w:val="18"/>
                <w:szCs w:val="18"/>
              </w:rPr>
              <w:t xml:space="preserve">nicipios No. P14-0819022 de fecha 19 de agosto de 2019, con número de inscripción en el Registro Estatal de Obligaciones de los Entes Públicos del Estado de Jalisco y sus Municipios 017/2019 de fecha 29 de julio de 2019. Cuyo saldo insoluto al </w:t>
            </w:r>
            <w:r w:rsidRPr="00DE034B">
              <w:rPr>
                <w:rFonts w:ascii="Arial" w:eastAsia="Arial" w:hAnsi="Arial" w:cs="Arial"/>
                <w:i/>
                <w:sz w:val="18"/>
                <w:szCs w:val="18"/>
              </w:rPr>
              <w:t>24 de septie</w:t>
            </w:r>
            <w:r w:rsidRPr="00DE034B">
              <w:rPr>
                <w:rFonts w:ascii="Arial" w:eastAsia="Arial" w:hAnsi="Arial" w:cs="Arial"/>
                <w:i/>
                <w:sz w:val="18"/>
                <w:szCs w:val="18"/>
              </w:rPr>
              <w:t>mbre</w:t>
            </w:r>
            <w:r w:rsidRPr="00DE034B">
              <w:rPr>
                <w:rFonts w:ascii="Arial" w:eastAsia="Arial" w:hAnsi="Arial" w:cs="Arial"/>
                <w:i/>
                <w:sz w:val="18"/>
                <w:szCs w:val="18"/>
              </w:rPr>
              <w:t xml:space="preserve"> de 2019 ascenderá a $2,000’000,000.00 (Dos mil millones de pesos 00/100 M.N.).</w:t>
            </w:r>
          </w:p>
          <w:p w:rsidR="00DF70CA" w:rsidRPr="00DE034B" w:rsidRDefault="00C4257B">
            <w:pPr>
              <w:numPr>
                <w:ilvl w:val="0"/>
                <w:numId w:val="1"/>
              </w:numPr>
              <w:spacing w:after="240"/>
              <w:jc w:val="both"/>
              <w:rPr>
                <w:rFonts w:ascii="Times New Roman" w:eastAsia="Times New Roman" w:hAnsi="Times New Roman" w:cs="Times New Roman"/>
                <w:i/>
                <w:sz w:val="18"/>
                <w:szCs w:val="18"/>
              </w:rPr>
            </w:pPr>
            <w:r w:rsidRPr="00DE034B">
              <w:rPr>
                <w:rFonts w:ascii="Arial" w:eastAsia="Arial" w:hAnsi="Arial" w:cs="Arial"/>
                <w:b/>
                <w:i/>
                <w:sz w:val="18"/>
                <w:szCs w:val="18"/>
              </w:rPr>
              <w:lastRenderedPageBreak/>
              <w:t>Contrato de Crédito BANOBRAS 1:</w:t>
            </w:r>
            <w:r w:rsidRPr="00DE034B">
              <w:rPr>
                <w:rFonts w:ascii="Arial" w:eastAsia="Arial" w:hAnsi="Arial" w:cs="Arial"/>
                <w:i/>
                <w:sz w:val="18"/>
                <w:szCs w:val="18"/>
              </w:rPr>
              <w:t xml:space="preserve"> significa el Contrato de Apertura de Crédito Simple celebrado entre el Estado de Jalisco como Acreditado y Banco Nacional de Obras y Servici</w:t>
            </w:r>
            <w:r w:rsidRPr="00DE034B">
              <w:rPr>
                <w:rFonts w:ascii="Arial" w:eastAsia="Arial" w:hAnsi="Arial" w:cs="Arial"/>
                <w:i/>
                <w:sz w:val="18"/>
                <w:szCs w:val="18"/>
              </w:rPr>
              <w:t xml:space="preserve">os Públicos, S.N.C., Institución de Banca de Desarrollo como Acreditante de fecha 26 de julio de 2019, por un monto de hasta $2,500’000,000.00 (Dos mil quinientos millones de Pesos 00/100 M.N.), según el mismo sea modificado de tiempo en tiempo, con clave </w:t>
            </w:r>
            <w:r w:rsidRPr="00DE034B">
              <w:rPr>
                <w:rFonts w:ascii="Arial" w:eastAsia="Arial" w:hAnsi="Arial" w:cs="Arial"/>
                <w:i/>
                <w:sz w:val="18"/>
                <w:szCs w:val="18"/>
              </w:rPr>
              <w:t>de inscripción en el Registro Público Único de Financiamientos y Obligaciones de Entidades Federativas y Municipios No. P14-0819018 de fecha 19 de agosto de 2019, con número de inscripción en el Registro Estatal de Obligaciones de los Entes Públicos del Es</w:t>
            </w:r>
            <w:r w:rsidRPr="00DE034B">
              <w:rPr>
                <w:rFonts w:ascii="Arial" w:eastAsia="Arial" w:hAnsi="Arial" w:cs="Arial"/>
                <w:i/>
                <w:sz w:val="18"/>
                <w:szCs w:val="18"/>
              </w:rPr>
              <w:t xml:space="preserve">tado de Jalisco y sus Municipios 022/2019 de fecha 29 de julio de 2019. Cuyo saldo insoluto al </w:t>
            </w:r>
            <w:r w:rsidRPr="00DE034B">
              <w:rPr>
                <w:rFonts w:ascii="Arial" w:eastAsia="Arial" w:hAnsi="Arial" w:cs="Arial"/>
                <w:i/>
                <w:sz w:val="18"/>
                <w:szCs w:val="18"/>
              </w:rPr>
              <w:t>24 de septiembre</w:t>
            </w:r>
            <w:r w:rsidRPr="00DE034B">
              <w:rPr>
                <w:rFonts w:ascii="Arial" w:eastAsia="Arial" w:hAnsi="Arial" w:cs="Arial"/>
                <w:i/>
                <w:sz w:val="18"/>
                <w:szCs w:val="18"/>
              </w:rPr>
              <w:t xml:space="preserve"> de 2019 ascenderá a $2,495’817,598.88 (Dos mil cuatrocientos noventa y cinco millones ochocientos diecisiete mil quinientos noventa y ocho pesos</w:t>
            </w:r>
            <w:r w:rsidRPr="00DE034B">
              <w:rPr>
                <w:rFonts w:ascii="Arial" w:eastAsia="Arial" w:hAnsi="Arial" w:cs="Arial"/>
                <w:i/>
                <w:sz w:val="18"/>
                <w:szCs w:val="18"/>
              </w:rPr>
              <w:t xml:space="preserve"> 88/100 M.N.).</w:t>
            </w:r>
          </w:p>
          <w:p w:rsidR="00DF70CA" w:rsidRPr="00DE034B" w:rsidRDefault="00C4257B">
            <w:pPr>
              <w:numPr>
                <w:ilvl w:val="0"/>
                <w:numId w:val="1"/>
              </w:numPr>
              <w:spacing w:after="240"/>
              <w:jc w:val="both"/>
              <w:rPr>
                <w:rFonts w:ascii="Times New Roman" w:eastAsia="Times New Roman" w:hAnsi="Times New Roman" w:cs="Times New Roman"/>
                <w:i/>
                <w:sz w:val="18"/>
                <w:szCs w:val="18"/>
              </w:rPr>
            </w:pPr>
            <w:r w:rsidRPr="00DE034B">
              <w:rPr>
                <w:rFonts w:ascii="Arial" w:eastAsia="Arial" w:hAnsi="Arial" w:cs="Arial"/>
                <w:b/>
                <w:i/>
                <w:sz w:val="18"/>
                <w:szCs w:val="18"/>
              </w:rPr>
              <w:t>Contrato de Crédito BANOBRAS 2:</w:t>
            </w:r>
            <w:r w:rsidRPr="00DE034B">
              <w:rPr>
                <w:rFonts w:ascii="Arial" w:eastAsia="Arial" w:hAnsi="Arial" w:cs="Arial"/>
                <w:i/>
                <w:sz w:val="18"/>
                <w:szCs w:val="18"/>
              </w:rPr>
              <w:t xml:space="preserve"> significa el Contrato de Apertura de Crédito Simple celebrado entre el Estado de Jalisco como Acreditado y Banco Nacional de Obras y Servicios Públicos, S.N.C., Institución de Banca de Desarrollo como Acredita</w:t>
            </w:r>
            <w:r w:rsidRPr="00DE034B">
              <w:rPr>
                <w:rFonts w:ascii="Arial" w:eastAsia="Arial" w:hAnsi="Arial" w:cs="Arial"/>
                <w:i/>
                <w:sz w:val="18"/>
                <w:szCs w:val="18"/>
              </w:rPr>
              <w:t>nte de fecha 26 de julio de 2019, por un monto de hasta $569´432,472.53 (Quinientos sesenta y nueve millones cuatrocientos treinta y dos mil cuatrocientos setenta y dos pesos 53/100 M.N.), según el mismo sea modificado de tiempo en tiempo, con clave de ins</w:t>
            </w:r>
            <w:r w:rsidRPr="00DE034B">
              <w:rPr>
                <w:rFonts w:ascii="Arial" w:eastAsia="Arial" w:hAnsi="Arial" w:cs="Arial"/>
                <w:i/>
                <w:sz w:val="18"/>
                <w:szCs w:val="18"/>
              </w:rPr>
              <w:t>cripción en el Registro Público Único de Financiamientos y Obligaciones de Entidades Federativas y Municipios No. P14-0819020 de fecha 19 de agosto de 2019, con número de inscripción en el Registro Estatal de Obligaciones de los Entes Públicos del Estado d</w:t>
            </w:r>
            <w:r w:rsidRPr="00DE034B">
              <w:rPr>
                <w:rFonts w:ascii="Arial" w:eastAsia="Arial" w:hAnsi="Arial" w:cs="Arial"/>
                <w:i/>
                <w:sz w:val="18"/>
                <w:szCs w:val="18"/>
              </w:rPr>
              <w:t xml:space="preserve">e Jalisco y sus Municipios 023/2019 de fecha 29 de julio de 2019. Cuyo saldo insoluto al </w:t>
            </w:r>
            <w:r w:rsidRPr="00DE034B">
              <w:rPr>
                <w:rFonts w:ascii="Arial" w:eastAsia="Arial" w:hAnsi="Arial" w:cs="Arial"/>
                <w:i/>
                <w:sz w:val="18"/>
                <w:szCs w:val="18"/>
              </w:rPr>
              <w:t>24 de septiembre</w:t>
            </w:r>
            <w:r w:rsidRPr="00DE034B">
              <w:rPr>
                <w:rFonts w:ascii="Arial" w:eastAsia="Arial" w:hAnsi="Arial" w:cs="Arial"/>
                <w:i/>
                <w:sz w:val="18"/>
                <w:szCs w:val="18"/>
              </w:rPr>
              <w:t xml:space="preserve"> de 2019 ascenderá a $567,347,281.84 (Quinientos sesenta y siete millones trescientos cuarenta y siete mil doscientos ochenta y un pesos 84/100 M.N.).</w:t>
            </w:r>
          </w:p>
          <w:p w:rsidR="00DF70CA" w:rsidRPr="00DE034B" w:rsidRDefault="00C4257B">
            <w:pPr>
              <w:numPr>
                <w:ilvl w:val="0"/>
                <w:numId w:val="1"/>
              </w:numPr>
              <w:spacing w:after="240"/>
              <w:jc w:val="both"/>
              <w:rPr>
                <w:rFonts w:ascii="Times New Roman" w:eastAsia="Times New Roman" w:hAnsi="Times New Roman" w:cs="Times New Roman"/>
                <w:i/>
                <w:sz w:val="18"/>
                <w:szCs w:val="18"/>
              </w:rPr>
            </w:pPr>
            <w:r w:rsidRPr="00DE034B">
              <w:rPr>
                <w:rFonts w:ascii="Arial" w:eastAsia="Arial" w:hAnsi="Arial" w:cs="Arial"/>
                <w:b/>
                <w:i/>
                <w:sz w:val="18"/>
                <w:szCs w:val="18"/>
              </w:rPr>
              <w:t xml:space="preserve">Contrato de Crédito SANTANDER </w:t>
            </w:r>
            <w:r w:rsidRPr="00DE034B">
              <w:rPr>
                <w:rFonts w:ascii="Arial" w:eastAsia="Arial" w:hAnsi="Arial" w:cs="Arial"/>
                <w:b/>
                <w:i/>
                <w:sz w:val="18"/>
                <w:szCs w:val="18"/>
              </w:rPr>
              <w:t>1</w:t>
            </w:r>
            <w:r w:rsidRPr="00DE034B">
              <w:rPr>
                <w:rFonts w:ascii="Arial" w:eastAsia="Arial" w:hAnsi="Arial" w:cs="Arial"/>
                <w:b/>
                <w:i/>
                <w:sz w:val="18"/>
                <w:szCs w:val="18"/>
              </w:rPr>
              <w:t>:</w:t>
            </w:r>
            <w:r w:rsidRPr="00DE034B">
              <w:rPr>
                <w:rFonts w:ascii="Arial" w:eastAsia="Arial" w:hAnsi="Arial" w:cs="Arial"/>
                <w:i/>
                <w:sz w:val="18"/>
                <w:szCs w:val="18"/>
              </w:rPr>
              <w:t xml:space="preserve"> significa el Contrato de Apertura de Crédito Simple celebrado entre el Estado de Jalisco como Acreditado y Banco Santander (México), S.A., Institución de Banca Múltiple, Grupo Financiero Santander México como Acreditante de</w:t>
            </w:r>
            <w:r w:rsidRPr="00DE034B">
              <w:rPr>
                <w:rFonts w:ascii="Arial" w:eastAsia="Arial" w:hAnsi="Arial" w:cs="Arial"/>
                <w:i/>
                <w:sz w:val="18"/>
                <w:szCs w:val="18"/>
              </w:rPr>
              <w:t xml:space="preserve"> fecha 29 de julio de 2019, por un monto de hasta $3,000´000,000.00 (tres mil millones de pesos 00/100 M.N.), según el mismo sea modificado de tiempo en tiempo, con clave de inscripción en el Registro Público Único de Financiamientos y Obligaciones de Enti</w:t>
            </w:r>
            <w:r w:rsidRPr="00DE034B">
              <w:rPr>
                <w:rFonts w:ascii="Arial" w:eastAsia="Arial" w:hAnsi="Arial" w:cs="Arial"/>
                <w:i/>
                <w:sz w:val="18"/>
                <w:szCs w:val="18"/>
              </w:rPr>
              <w:t>dades Federativas y Municipios No. P14-0819023 de fecha 19 de agosto de 2019, con número de inscripción en el Registro Estatal de Obligaciones de los Entes Públicos del Estado de Jalisco y sus Municipios 024/2019 de fecha 29 de julio de 2019. Cuyo saldo in</w:t>
            </w:r>
            <w:r w:rsidRPr="00DE034B">
              <w:rPr>
                <w:rFonts w:ascii="Arial" w:eastAsia="Arial" w:hAnsi="Arial" w:cs="Arial"/>
                <w:i/>
                <w:sz w:val="18"/>
                <w:szCs w:val="18"/>
              </w:rPr>
              <w:t xml:space="preserve">soluto al </w:t>
            </w:r>
            <w:r w:rsidRPr="00DE034B">
              <w:rPr>
                <w:rFonts w:ascii="Arial" w:eastAsia="Arial" w:hAnsi="Arial" w:cs="Arial"/>
                <w:i/>
                <w:sz w:val="18"/>
                <w:szCs w:val="18"/>
              </w:rPr>
              <w:t>24 de septiembre</w:t>
            </w:r>
            <w:r w:rsidRPr="00DE034B">
              <w:rPr>
                <w:rFonts w:ascii="Arial" w:eastAsia="Arial" w:hAnsi="Arial" w:cs="Arial"/>
                <w:i/>
                <w:sz w:val="18"/>
                <w:szCs w:val="18"/>
              </w:rPr>
              <w:t xml:space="preserve"> de 2019 ascenderá a $2,998´239,300.10 (Dos mil novecientos noventa y ocho millones doscientos treinta y nueve mil trescientos pesos 10/100 M.N.).</w:t>
            </w:r>
          </w:p>
          <w:p w:rsidR="00DF70CA" w:rsidRPr="00DE034B" w:rsidRDefault="00C4257B">
            <w:pPr>
              <w:numPr>
                <w:ilvl w:val="0"/>
                <w:numId w:val="1"/>
              </w:numPr>
              <w:jc w:val="both"/>
              <w:rPr>
                <w:rFonts w:ascii="Times New Roman" w:eastAsia="Times New Roman" w:hAnsi="Times New Roman" w:cs="Times New Roman"/>
                <w:i/>
                <w:sz w:val="18"/>
                <w:szCs w:val="18"/>
              </w:rPr>
            </w:pPr>
            <w:r w:rsidRPr="00DE034B">
              <w:rPr>
                <w:rFonts w:ascii="Arial" w:eastAsia="Arial" w:hAnsi="Arial" w:cs="Arial"/>
                <w:b/>
                <w:i/>
                <w:sz w:val="18"/>
                <w:szCs w:val="18"/>
              </w:rPr>
              <w:t>Contrato de Crédito BANORTE</w:t>
            </w:r>
            <w:r w:rsidRPr="00DE034B">
              <w:rPr>
                <w:rFonts w:ascii="Arial" w:eastAsia="Arial" w:hAnsi="Arial" w:cs="Arial"/>
                <w:b/>
                <w:i/>
                <w:sz w:val="18"/>
                <w:szCs w:val="18"/>
              </w:rPr>
              <w:t xml:space="preserve"> 1:</w:t>
            </w:r>
            <w:r w:rsidRPr="00DE034B">
              <w:rPr>
                <w:rFonts w:ascii="Arial" w:eastAsia="Arial" w:hAnsi="Arial" w:cs="Arial"/>
                <w:i/>
                <w:sz w:val="18"/>
                <w:szCs w:val="18"/>
              </w:rPr>
              <w:t xml:space="preserve"> </w:t>
            </w:r>
            <w:r w:rsidRPr="00DE034B">
              <w:rPr>
                <w:rFonts w:ascii="Arial" w:eastAsia="Arial" w:hAnsi="Arial" w:cs="Arial"/>
                <w:i/>
                <w:sz w:val="18"/>
                <w:szCs w:val="18"/>
              </w:rPr>
              <w:t xml:space="preserve">significa el Contrato de Apertura de Crédito Simple </w:t>
            </w:r>
            <w:r w:rsidRPr="00DE034B">
              <w:rPr>
                <w:rFonts w:ascii="Arial" w:eastAsia="Arial" w:hAnsi="Arial" w:cs="Arial"/>
                <w:i/>
                <w:sz w:val="18"/>
                <w:szCs w:val="18"/>
              </w:rPr>
              <w:t xml:space="preserve">celebrado entre el Estado de Jalisco como Acreditado y Banco Mercantil del Norte, S.A., Institución de Banca Múltiple, Grupo Financiero Banorte como Acreditante de fecha 26 de julio de 2019, por un monto de hasta $5,115´348,231.00 (Cinco mil ciento quince </w:t>
            </w:r>
            <w:r w:rsidRPr="00DE034B">
              <w:rPr>
                <w:rFonts w:ascii="Arial" w:eastAsia="Arial" w:hAnsi="Arial" w:cs="Arial"/>
                <w:i/>
                <w:sz w:val="18"/>
                <w:szCs w:val="18"/>
              </w:rPr>
              <w:t>millones trescientos cuarenta y ocho mil doscientos treinta y un pesos 00/100 M.N.), según el mismo sea modificado de tiempo en tiempo, con clave de inscripción en el Registro Público Único de Financiamientos y Obligaciones de Entidades Federativas y Munic</w:t>
            </w:r>
            <w:r w:rsidRPr="00DE034B">
              <w:rPr>
                <w:rFonts w:ascii="Arial" w:eastAsia="Arial" w:hAnsi="Arial" w:cs="Arial"/>
                <w:i/>
                <w:sz w:val="18"/>
                <w:szCs w:val="18"/>
              </w:rPr>
              <w:t xml:space="preserve">ipios No. P14-0819019 de fecha 19 de agosto de 2019, con número de inscripción en el Registro Estatal de Obligaciones de los Entes Públicos del Estado de Jalisco y sus Municipios 016/2019 de fecha 29 de julio de 2019. Cuyo saldo insoluto al </w:t>
            </w:r>
            <w:r w:rsidRPr="00DE034B">
              <w:rPr>
                <w:rFonts w:ascii="Arial" w:eastAsia="Arial" w:hAnsi="Arial" w:cs="Arial"/>
                <w:i/>
                <w:sz w:val="18"/>
                <w:szCs w:val="18"/>
              </w:rPr>
              <w:t>24 de septiembr</w:t>
            </w:r>
            <w:r w:rsidRPr="00DE034B">
              <w:rPr>
                <w:rFonts w:ascii="Arial" w:eastAsia="Arial" w:hAnsi="Arial" w:cs="Arial"/>
                <w:i/>
                <w:sz w:val="18"/>
                <w:szCs w:val="18"/>
              </w:rPr>
              <w:t>e</w:t>
            </w:r>
            <w:r w:rsidRPr="00DE034B">
              <w:rPr>
                <w:rFonts w:ascii="Arial" w:eastAsia="Arial" w:hAnsi="Arial" w:cs="Arial"/>
                <w:i/>
                <w:sz w:val="18"/>
                <w:szCs w:val="18"/>
              </w:rPr>
              <w:t xml:space="preserve"> de 2019 ascenderá a $5,104´698,810.80 (Cinco mil ciento cuatro millones seiscientos noventa y ocho mil ochocientos diez pesos 80/100 M.N.).</w:t>
            </w:r>
          </w:p>
        </w:tc>
      </w:tr>
      <w:tr w:rsidR="00DF70CA" w:rsidRPr="00DE034B">
        <w:trPr>
          <w:jc w:val="center"/>
        </w:trPr>
        <w:tc>
          <w:tcPr>
            <w:tcW w:w="1413" w:type="dxa"/>
            <w:tcBorders>
              <w:top w:val="single" w:sz="4" w:space="0" w:color="000000"/>
              <w:left w:val="single" w:sz="4" w:space="0" w:color="000000"/>
              <w:bottom w:val="single" w:sz="4" w:space="0" w:color="000000"/>
              <w:right w:val="single" w:sz="4" w:space="0" w:color="000000"/>
            </w:tcBorders>
          </w:tcPr>
          <w:p w:rsidR="00DF70CA" w:rsidRPr="00DE034B" w:rsidRDefault="00C4257B">
            <w:pPr>
              <w:spacing w:before="120" w:after="120"/>
              <w:rPr>
                <w:rFonts w:ascii="Arial" w:eastAsia="Arial" w:hAnsi="Arial" w:cs="Arial"/>
                <w:sz w:val="18"/>
                <w:szCs w:val="18"/>
              </w:rPr>
            </w:pPr>
            <w:r w:rsidRPr="00DE034B">
              <w:rPr>
                <w:rFonts w:ascii="Arial" w:eastAsia="Arial" w:hAnsi="Arial" w:cs="Arial"/>
                <w:sz w:val="18"/>
                <w:szCs w:val="18"/>
              </w:rPr>
              <w:lastRenderedPageBreak/>
              <w:t>Perfil de amortización:</w:t>
            </w:r>
          </w:p>
        </w:tc>
        <w:tc>
          <w:tcPr>
            <w:tcW w:w="11297" w:type="dxa"/>
            <w:tcBorders>
              <w:top w:val="single" w:sz="4" w:space="0" w:color="000000"/>
              <w:left w:val="single" w:sz="4" w:space="0" w:color="000000"/>
              <w:bottom w:val="single" w:sz="4" w:space="0" w:color="000000"/>
              <w:right w:val="single" w:sz="4" w:space="0" w:color="000000"/>
            </w:tcBorders>
          </w:tcPr>
          <w:p w:rsidR="00DF70CA" w:rsidRPr="00DE034B" w:rsidRDefault="00C4257B">
            <w:pPr>
              <w:pBdr>
                <w:top w:val="nil"/>
                <w:left w:val="nil"/>
                <w:bottom w:val="nil"/>
                <w:right w:val="nil"/>
                <w:between w:val="nil"/>
              </w:pBdr>
              <w:spacing w:before="120" w:after="120"/>
              <w:jc w:val="both"/>
              <w:rPr>
                <w:rFonts w:ascii="Arial" w:eastAsia="Arial" w:hAnsi="Arial" w:cs="Arial"/>
                <w:color w:val="000000"/>
                <w:sz w:val="18"/>
                <w:szCs w:val="18"/>
              </w:rPr>
            </w:pPr>
            <w:r w:rsidRPr="00DE034B">
              <w:rPr>
                <w:rFonts w:ascii="Arial" w:eastAsia="Arial" w:hAnsi="Arial" w:cs="Arial"/>
                <w:color w:val="000000"/>
                <w:sz w:val="18"/>
                <w:szCs w:val="18"/>
              </w:rPr>
              <w:t>De acuerdo con el numeral i) de la Convocatoria y Bases de Licitación, las tablas de amortización correspondientes a cada Instrumento Derivado son las publicadas en la página de internet de la Secretaría de la Hacienda Pública del Estado de Jalisco, las cu</w:t>
            </w:r>
            <w:r w:rsidRPr="00DE034B">
              <w:rPr>
                <w:rFonts w:ascii="Arial" w:eastAsia="Arial" w:hAnsi="Arial" w:cs="Arial"/>
                <w:color w:val="000000"/>
                <w:sz w:val="18"/>
                <w:szCs w:val="18"/>
              </w:rPr>
              <w:t>ales se adjuntan como</w:t>
            </w:r>
            <w:r w:rsidRPr="00DE034B">
              <w:rPr>
                <w:rFonts w:ascii="Arial" w:eastAsia="Arial" w:hAnsi="Arial" w:cs="Arial"/>
                <w:b/>
                <w:color w:val="000000"/>
                <w:sz w:val="18"/>
                <w:szCs w:val="18"/>
              </w:rPr>
              <w:t xml:space="preserve"> Anexo 2</w:t>
            </w:r>
            <w:r w:rsidRPr="00DE034B">
              <w:rPr>
                <w:rFonts w:ascii="Arial" w:eastAsia="Arial" w:hAnsi="Arial" w:cs="Arial"/>
                <w:color w:val="000000"/>
                <w:sz w:val="18"/>
                <w:szCs w:val="18"/>
              </w:rPr>
              <w:t>.</w:t>
            </w:r>
          </w:p>
        </w:tc>
      </w:tr>
      <w:tr w:rsidR="00DF70CA" w:rsidRPr="00DE034B">
        <w:trPr>
          <w:jc w:val="center"/>
        </w:trPr>
        <w:tc>
          <w:tcPr>
            <w:tcW w:w="1413" w:type="dxa"/>
            <w:tcBorders>
              <w:top w:val="single" w:sz="4" w:space="0" w:color="000000"/>
              <w:left w:val="single" w:sz="4" w:space="0" w:color="000000"/>
              <w:bottom w:val="single" w:sz="4" w:space="0" w:color="000000"/>
              <w:right w:val="single" w:sz="4" w:space="0" w:color="000000"/>
            </w:tcBorders>
          </w:tcPr>
          <w:p w:rsidR="00DF70CA" w:rsidRPr="00DE034B" w:rsidRDefault="00C4257B">
            <w:pPr>
              <w:pBdr>
                <w:top w:val="nil"/>
                <w:left w:val="nil"/>
                <w:bottom w:val="nil"/>
                <w:right w:val="nil"/>
                <w:between w:val="nil"/>
              </w:pBdr>
              <w:spacing w:before="120" w:after="120"/>
              <w:rPr>
                <w:rFonts w:ascii="Arial" w:eastAsia="Arial" w:hAnsi="Arial" w:cs="Arial"/>
                <w:color w:val="000000"/>
                <w:sz w:val="18"/>
                <w:szCs w:val="18"/>
              </w:rPr>
            </w:pPr>
            <w:r w:rsidRPr="00DE034B">
              <w:rPr>
                <w:rFonts w:ascii="Arial" w:eastAsia="Arial" w:hAnsi="Arial" w:cs="Arial"/>
                <w:color w:val="000000"/>
                <w:sz w:val="18"/>
                <w:szCs w:val="18"/>
              </w:rPr>
              <w:t>Periodicidad</w:t>
            </w:r>
            <w:r w:rsidRPr="00DE034B">
              <w:rPr>
                <w:rFonts w:ascii="Arial" w:eastAsia="Arial" w:hAnsi="Arial" w:cs="Arial"/>
                <w:sz w:val="18"/>
                <w:szCs w:val="18"/>
              </w:rPr>
              <w:t xml:space="preserve"> </w:t>
            </w:r>
            <w:r w:rsidRPr="00DE034B">
              <w:rPr>
                <w:rFonts w:ascii="Arial" w:eastAsia="Arial" w:hAnsi="Arial" w:cs="Arial"/>
                <w:color w:val="000000"/>
                <w:sz w:val="18"/>
                <w:szCs w:val="18"/>
              </w:rPr>
              <w:t>de pago</w:t>
            </w:r>
            <w:r w:rsidRPr="00DE034B">
              <w:rPr>
                <w:rFonts w:ascii="Arial" w:eastAsia="Arial" w:hAnsi="Arial" w:cs="Arial"/>
                <w:sz w:val="18"/>
                <w:szCs w:val="18"/>
              </w:rPr>
              <w:t xml:space="preserve"> </w:t>
            </w:r>
            <w:r w:rsidRPr="00DE034B">
              <w:rPr>
                <w:rFonts w:ascii="Arial" w:eastAsia="Arial" w:hAnsi="Arial" w:cs="Arial"/>
                <w:color w:val="000000"/>
                <w:sz w:val="18"/>
                <w:szCs w:val="18"/>
              </w:rPr>
              <w:t>de los</w:t>
            </w:r>
            <w:r w:rsidRPr="00DE034B">
              <w:rPr>
                <w:rFonts w:ascii="Arial" w:eastAsia="Arial" w:hAnsi="Arial" w:cs="Arial"/>
                <w:sz w:val="18"/>
                <w:szCs w:val="18"/>
              </w:rPr>
              <w:t xml:space="preserve"> </w:t>
            </w:r>
            <w:r w:rsidRPr="00DE034B">
              <w:rPr>
                <w:rFonts w:ascii="Arial" w:eastAsia="Arial" w:hAnsi="Arial" w:cs="Arial"/>
                <w:color w:val="000000"/>
                <w:sz w:val="18"/>
                <w:szCs w:val="18"/>
              </w:rPr>
              <w:lastRenderedPageBreak/>
              <w:t>intereses:</w:t>
            </w:r>
          </w:p>
        </w:tc>
        <w:tc>
          <w:tcPr>
            <w:tcW w:w="11297" w:type="dxa"/>
            <w:tcBorders>
              <w:top w:val="single" w:sz="4" w:space="0" w:color="000000"/>
              <w:left w:val="single" w:sz="4" w:space="0" w:color="000000"/>
              <w:bottom w:val="single" w:sz="4" w:space="0" w:color="000000"/>
              <w:right w:val="single" w:sz="4" w:space="0" w:color="000000"/>
            </w:tcBorders>
          </w:tcPr>
          <w:p w:rsidR="00DF70CA" w:rsidRPr="00DE034B" w:rsidRDefault="00C4257B">
            <w:pPr>
              <w:pBdr>
                <w:top w:val="nil"/>
                <w:left w:val="nil"/>
                <w:bottom w:val="nil"/>
                <w:right w:val="nil"/>
                <w:between w:val="nil"/>
              </w:pBdr>
              <w:spacing w:before="120" w:after="120"/>
              <w:jc w:val="both"/>
              <w:rPr>
                <w:rFonts w:ascii="Arial" w:eastAsia="Arial" w:hAnsi="Arial" w:cs="Arial"/>
                <w:color w:val="000000"/>
                <w:sz w:val="18"/>
                <w:szCs w:val="18"/>
              </w:rPr>
            </w:pPr>
            <w:r w:rsidRPr="00DE034B">
              <w:rPr>
                <w:rFonts w:ascii="Arial" w:eastAsia="Arial" w:hAnsi="Arial" w:cs="Arial"/>
                <w:color w:val="000000"/>
                <w:sz w:val="18"/>
                <w:szCs w:val="18"/>
              </w:rPr>
              <w:lastRenderedPageBreak/>
              <w:t>La periodicidad de pago del Instrumento Derivado asociado a los Contratos de Crédito es mensual, y corresponde al día 25 de cada mes, hasta la fecha de vencimiento del Instrumento Deriv</w:t>
            </w:r>
            <w:r w:rsidRPr="00DE034B">
              <w:rPr>
                <w:rFonts w:ascii="Arial" w:eastAsia="Arial" w:hAnsi="Arial" w:cs="Arial"/>
                <w:color w:val="000000"/>
                <w:sz w:val="18"/>
                <w:szCs w:val="18"/>
              </w:rPr>
              <w:t xml:space="preserve">ado. Si por cualquier causa la fecha de pago coincide con un día que no sea hábil, </w:t>
            </w:r>
            <w:r w:rsidRPr="00DE034B">
              <w:rPr>
                <w:rFonts w:ascii="Arial" w:eastAsia="Arial" w:hAnsi="Arial" w:cs="Arial"/>
                <w:color w:val="000000"/>
                <w:sz w:val="18"/>
                <w:szCs w:val="18"/>
              </w:rPr>
              <w:lastRenderedPageBreak/>
              <w:t>dicha fecha se pasará al día hábil inmediato siguiente a dicha fecha.</w:t>
            </w:r>
          </w:p>
        </w:tc>
      </w:tr>
    </w:tbl>
    <w:p w:rsidR="00DF70CA" w:rsidRPr="00DE034B" w:rsidRDefault="00DF70CA">
      <w:pPr>
        <w:widowControl w:val="0"/>
        <w:pBdr>
          <w:top w:val="nil"/>
          <w:left w:val="nil"/>
          <w:bottom w:val="nil"/>
          <w:right w:val="nil"/>
          <w:between w:val="nil"/>
        </w:pBdr>
        <w:tabs>
          <w:tab w:val="center" w:pos="4680"/>
          <w:tab w:val="right" w:pos="9360"/>
        </w:tabs>
        <w:jc w:val="both"/>
        <w:rPr>
          <w:rFonts w:ascii="Arial" w:eastAsia="Arial" w:hAnsi="Arial" w:cs="Arial"/>
          <w:color w:val="000000"/>
        </w:rPr>
      </w:pPr>
    </w:p>
    <w:tbl>
      <w:tblPr>
        <w:tblStyle w:val="a0"/>
        <w:tblW w:w="13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
        <w:gridCol w:w="1979"/>
        <w:gridCol w:w="1544"/>
        <w:gridCol w:w="1693"/>
        <w:gridCol w:w="1127"/>
        <w:gridCol w:w="1697"/>
        <w:gridCol w:w="2671"/>
        <w:gridCol w:w="2041"/>
      </w:tblGrid>
      <w:tr w:rsidR="00DF70CA" w:rsidRPr="00DE034B">
        <w:trPr>
          <w:trHeight w:val="280"/>
        </w:trPr>
        <w:tc>
          <w:tcPr>
            <w:tcW w:w="13249" w:type="dxa"/>
            <w:gridSpan w:val="8"/>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b/>
                <w:color w:val="000000"/>
                <w:sz w:val="20"/>
                <w:szCs w:val="20"/>
              </w:rPr>
            </w:pPr>
            <w:r w:rsidRPr="00DE034B">
              <w:rPr>
                <w:rFonts w:ascii="Arial" w:eastAsia="Arial" w:hAnsi="Arial" w:cs="Arial"/>
                <w:b/>
                <w:color w:val="000000"/>
                <w:sz w:val="20"/>
                <w:szCs w:val="20"/>
              </w:rPr>
              <w:t>Características específicas de la Oferta</w:t>
            </w:r>
          </w:p>
        </w:tc>
      </w:tr>
      <w:tr w:rsidR="00DF70CA" w:rsidRPr="00DE034B">
        <w:trPr>
          <w:trHeight w:val="820"/>
        </w:trPr>
        <w:tc>
          <w:tcPr>
            <w:tcW w:w="4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color w:val="000000"/>
                <w:sz w:val="18"/>
                <w:szCs w:val="18"/>
              </w:rPr>
              <w:t>No.</w:t>
            </w:r>
          </w:p>
        </w:tc>
        <w:tc>
          <w:tcPr>
            <w:tcW w:w="1979"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Contrato de Crédito a Cubrir</w:t>
            </w:r>
          </w:p>
        </w:tc>
        <w:tc>
          <w:tcPr>
            <w:tcW w:w="1544"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Fecha de inicio de la cobertura</w:t>
            </w:r>
          </w:p>
        </w:tc>
        <w:tc>
          <w:tcPr>
            <w:tcW w:w="1693"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Fecha de vencimiento de la cobertura</w:t>
            </w:r>
          </w:p>
        </w:tc>
        <w:tc>
          <w:tcPr>
            <w:tcW w:w="112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Plazo en días</w:t>
            </w:r>
          </w:p>
        </w:tc>
        <w:tc>
          <w:tcPr>
            <w:tcW w:w="16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Fuente de Pago</w:t>
            </w:r>
          </w:p>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Fondo General de Participaciones</w:t>
            </w:r>
          </w:p>
        </w:tc>
        <w:tc>
          <w:tcPr>
            <w:tcW w:w="2671"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Monto Asegurado de la Oferta</w:t>
            </w:r>
          </w:p>
        </w:tc>
        <w:tc>
          <w:tcPr>
            <w:tcW w:w="2041"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Tasa de Interés Fija Ofertada a cambio de la Tasa de Referencia</w:t>
            </w:r>
          </w:p>
        </w:tc>
      </w:tr>
      <w:tr w:rsidR="00DF70CA" w:rsidRPr="00DE034B">
        <w:trPr>
          <w:trHeight w:val="520"/>
        </w:trPr>
        <w:tc>
          <w:tcPr>
            <w:tcW w:w="4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color w:val="000000"/>
                <w:sz w:val="18"/>
                <w:szCs w:val="18"/>
              </w:rPr>
              <w:t>1</w:t>
            </w:r>
          </w:p>
        </w:tc>
        <w:tc>
          <w:tcPr>
            <w:tcW w:w="1979"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color w:val="000000"/>
                <w:sz w:val="18"/>
                <w:szCs w:val="18"/>
              </w:rPr>
              <w:t>Contrato de Crédito Bancomer 1</w:t>
            </w:r>
          </w:p>
        </w:tc>
        <w:tc>
          <w:tcPr>
            <w:tcW w:w="1544"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sz w:val="18"/>
                <w:szCs w:val="18"/>
              </w:rPr>
              <w:t>24</w:t>
            </w:r>
            <w:r w:rsidRPr="00DE034B">
              <w:rPr>
                <w:rFonts w:ascii="Arial" w:eastAsia="Arial" w:hAnsi="Arial" w:cs="Arial"/>
                <w:color w:val="000000"/>
                <w:sz w:val="18"/>
                <w:szCs w:val="18"/>
              </w:rPr>
              <w:t>/09/2019</w:t>
            </w:r>
          </w:p>
        </w:tc>
        <w:tc>
          <w:tcPr>
            <w:tcW w:w="1693"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25/0</w:t>
            </w:r>
            <w:r w:rsidRPr="00DE034B">
              <w:rPr>
                <w:rFonts w:ascii="Arial" w:eastAsia="Arial" w:hAnsi="Arial" w:cs="Arial"/>
                <w:sz w:val="18"/>
                <w:szCs w:val="18"/>
              </w:rPr>
              <w:t>6</w:t>
            </w:r>
            <w:r w:rsidRPr="00DE034B">
              <w:rPr>
                <w:rFonts w:ascii="Arial" w:eastAsia="Arial" w:hAnsi="Arial" w:cs="Arial"/>
                <w:color w:val="000000"/>
                <w:sz w:val="18"/>
                <w:szCs w:val="18"/>
              </w:rPr>
              <w:t>/2025</w:t>
            </w:r>
          </w:p>
        </w:tc>
        <w:tc>
          <w:tcPr>
            <w:tcW w:w="112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2,</w:t>
            </w:r>
            <w:r w:rsidRPr="00DE034B">
              <w:rPr>
                <w:rFonts w:ascii="Arial" w:eastAsia="Arial" w:hAnsi="Arial" w:cs="Arial"/>
                <w:sz w:val="18"/>
                <w:szCs w:val="18"/>
              </w:rPr>
              <w:t>102</w:t>
            </w:r>
          </w:p>
        </w:tc>
        <w:tc>
          <w:tcPr>
            <w:tcW w:w="16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1.43%</w:t>
            </w:r>
          </w:p>
        </w:tc>
        <w:tc>
          <w:tcPr>
            <w:tcW w:w="267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c>
          <w:tcPr>
            <w:tcW w:w="204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r>
      <w:tr w:rsidR="00DF70CA" w:rsidRPr="00DE034B">
        <w:trPr>
          <w:trHeight w:val="520"/>
        </w:trPr>
        <w:tc>
          <w:tcPr>
            <w:tcW w:w="4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color w:val="000000"/>
                <w:sz w:val="18"/>
                <w:szCs w:val="18"/>
              </w:rPr>
              <w:t>2</w:t>
            </w:r>
          </w:p>
        </w:tc>
        <w:tc>
          <w:tcPr>
            <w:tcW w:w="1979"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color w:val="000000"/>
                <w:sz w:val="18"/>
                <w:szCs w:val="18"/>
              </w:rPr>
              <w:t>Contrato de Crédito</w:t>
            </w:r>
          </w:p>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color w:val="000000"/>
                <w:sz w:val="18"/>
                <w:szCs w:val="18"/>
              </w:rPr>
              <w:t>Bancomer 2</w:t>
            </w:r>
          </w:p>
        </w:tc>
        <w:tc>
          <w:tcPr>
            <w:tcW w:w="1544"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sz w:val="18"/>
                <w:szCs w:val="18"/>
              </w:rPr>
              <w:t>24</w:t>
            </w:r>
            <w:r w:rsidRPr="00DE034B">
              <w:rPr>
                <w:rFonts w:ascii="Arial" w:eastAsia="Arial" w:hAnsi="Arial" w:cs="Arial"/>
                <w:color w:val="000000"/>
                <w:sz w:val="18"/>
                <w:szCs w:val="18"/>
              </w:rPr>
              <w:t>/09/2019</w:t>
            </w:r>
          </w:p>
        </w:tc>
        <w:tc>
          <w:tcPr>
            <w:tcW w:w="1693"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25/0</w:t>
            </w:r>
            <w:r w:rsidRPr="00DE034B">
              <w:rPr>
                <w:rFonts w:ascii="Arial" w:eastAsia="Arial" w:hAnsi="Arial" w:cs="Arial"/>
                <w:sz w:val="18"/>
                <w:szCs w:val="18"/>
              </w:rPr>
              <w:t>6</w:t>
            </w:r>
            <w:r w:rsidRPr="00DE034B">
              <w:rPr>
                <w:rFonts w:ascii="Arial" w:eastAsia="Arial" w:hAnsi="Arial" w:cs="Arial"/>
                <w:color w:val="000000"/>
                <w:sz w:val="18"/>
                <w:szCs w:val="18"/>
              </w:rPr>
              <w:t>/2025</w:t>
            </w:r>
          </w:p>
        </w:tc>
        <w:tc>
          <w:tcPr>
            <w:tcW w:w="1127" w:type="dxa"/>
            <w:vAlign w:val="center"/>
          </w:tcPr>
          <w:p w:rsidR="00DF70CA" w:rsidRPr="00DE034B" w:rsidRDefault="00C4257B">
            <w:pPr>
              <w:spacing w:before="120" w:after="120"/>
              <w:jc w:val="center"/>
            </w:pPr>
            <w:r w:rsidRPr="00DE034B">
              <w:rPr>
                <w:rFonts w:ascii="Arial" w:eastAsia="Arial" w:hAnsi="Arial" w:cs="Arial"/>
                <w:sz w:val="18"/>
                <w:szCs w:val="18"/>
              </w:rPr>
              <w:t>2,102</w:t>
            </w:r>
          </w:p>
        </w:tc>
        <w:tc>
          <w:tcPr>
            <w:tcW w:w="16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r w:rsidRPr="00DE034B">
              <w:rPr>
                <w:rFonts w:ascii="Arial" w:eastAsia="Arial" w:hAnsi="Arial" w:cs="Arial"/>
                <w:color w:val="000000"/>
                <w:sz w:val="18"/>
                <w:szCs w:val="18"/>
              </w:rPr>
              <w:t>2.86%</w:t>
            </w:r>
          </w:p>
        </w:tc>
        <w:tc>
          <w:tcPr>
            <w:tcW w:w="267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c>
          <w:tcPr>
            <w:tcW w:w="204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r>
      <w:tr w:rsidR="00DF70CA" w:rsidRPr="00DE034B">
        <w:trPr>
          <w:trHeight w:val="520"/>
        </w:trPr>
        <w:tc>
          <w:tcPr>
            <w:tcW w:w="4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color w:val="000000"/>
                <w:sz w:val="18"/>
                <w:szCs w:val="18"/>
              </w:rPr>
              <w:t>3</w:t>
            </w:r>
          </w:p>
        </w:tc>
        <w:tc>
          <w:tcPr>
            <w:tcW w:w="1979" w:type="dxa"/>
            <w:vAlign w:val="center"/>
          </w:tcPr>
          <w:p w:rsidR="00DF70CA" w:rsidRPr="00DE034B" w:rsidRDefault="00C4257B">
            <w:pPr>
              <w:widowControl w:val="0"/>
              <w:tabs>
                <w:tab w:val="center" w:pos="4680"/>
                <w:tab w:val="right" w:pos="9360"/>
              </w:tabs>
              <w:spacing w:before="120" w:after="120"/>
              <w:rPr>
                <w:rFonts w:ascii="Arial" w:eastAsia="Arial" w:hAnsi="Arial" w:cs="Arial"/>
                <w:sz w:val="18"/>
                <w:szCs w:val="18"/>
              </w:rPr>
            </w:pPr>
            <w:r w:rsidRPr="00DE034B">
              <w:rPr>
                <w:rFonts w:ascii="Arial" w:eastAsia="Arial" w:hAnsi="Arial" w:cs="Arial"/>
                <w:sz w:val="18"/>
                <w:szCs w:val="18"/>
              </w:rPr>
              <w:t>Contrato de Crédito BANOBRAS 1</w:t>
            </w:r>
          </w:p>
        </w:tc>
        <w:tc>
          <w:tcPr>
            <w:tcW w:w="1544"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24/09/2019</w:t>
            </w:r>
          </w:p>
        </w:tc>
        <w:tc>
          <w:tcPr>
            <w:tcW w:w="1693"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25/06/2025</w:t>
            </w:r>
          </w:p>
        </w:tc>
        <w:tc>
          <w:tcPr>
            <w:tcW w:w="1127" w:type="dxa"/>
            <w:vAlign w:val="center"/>
          </w:tcPr>
          <w:p w:rsidR="00DF70CA" w:rsidRPr="00DE034B" w:rsidRDefault="00C4257B">
            <w:pPr>
              <w:spacing w:before="120" w:after="120"/>
              <w:jc w:val="center"/>
            </w:pPr>
            <w:r w:rsidRPr="00DE034B">
              <w:rPr>
                <w:rFonts w:ascii="Arial" w:eastAsia="Arial" w:hAnsi="Arial" w:cs="Arial"/>
                <w:sz w:val="18"/>
                <w:szCs w:val="18"/>
              </w:rPr>
              <w:t>2,102</w:t>
            </w:r>
          </w:p>
        </w:tc>
        <w:tc>
          <w:tcPr>
            <w:tcW w:w="1697"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3.58%</w:t>
            </w:r>
          </w:p>
        </w:tc>
        <w:tc>
          <w:tcPr>
            <w:tcW w:w="267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c>
          <w:tcPr>
            <w:tcW w:w="204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r>
      <w:tr w:rsidR="00DF70CA" w:rsidRPr="00DE034B">
        <w:trPr>
          <w:trHeight w:val="520"/>
        </w:trPr>
        <w:tc>
          <w:tcPr>
            <w:tcW w:w="4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sz w:val="18"/>
                <w:szCs w:val="18"/>
              </w:rPr>
              <w:t>4</w:t>
            </w:r>
          </w:p>
        </w:tc>
        <w:tc>
          <w:tcPr>
            <w:tcW w:w="1979" w:type="dxa"/>
            <w:vAlign w:val="center"/>
          </w:tcPr>
          <w:p w:rsidR="00DF70CA" w:rsidRPr="00DE034B" w:rsidRDefault="00C4257B">
            <w:pPr>
              <w:widowControl w:val="0"/>
              <w:tabs>
                <w:tab w:val="center" w:pos="4680"/>
                <w:tab w:val="right" w:pos="9360"/>
              </w:tabs>
              <w:spacing w:before="120" w:after="120"/>
              <w:rPr>
                <w:rFonts w:ascii="Arial" w:eastAsia="Arial" w:hAnsi="Arial" w:cs="Arial"/>
                <w:sz w:val="18"/>
                <w:szCs w:val="18"/>
              </w:rPr>
            </w:pPr>
            <w:r w:rsidRPr="00DE034B">
              <w:rPr>
                <w:rFonts w:ascii="Arial" w:eastAsia="Arial" w:hAnsi="Arial" w:cs="Arial"/>
                <w:sz w:val="18"/>
                <w:szCs w:val="18"/>
              </w:rPr>
              <w:t>Contrato de Crédito BANOBRAS 2</w:t>
            </w:r>
          </w:p>
        </w:tc>
        <w:tc>
          <w:tcPr>
            <w:tcW w:w="1544"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24/09/2019</w:t>
            </w:r>
          </w:p>
        </w:tc>
        <w:tc>
          <w:tcPr>
            <w:tcW w:w="1693"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25/06/2025</w:t>
            </w:r>
          </w:p>
        </w:tc>
        <w:tc>
          <w:tcPr>
            <w:tcW w:w="1127" w:type="dxa"/>
            <w:vAlign w:val="center"/>
          </w:tcPr>
          <w:p w:rsidR="00DF70CA" w:rsidRPr="00DE034B" w:rsidRDefault="00C4257B">
            <w:pPr>
              <w:spacing w:before="120" w:after="120"/>
              <w:jc w:val="center"/>
            </w:pPr>
            <w:r w:rsidRPr="00DE034B">
              <w:rPr>
                <w:rFonts w:ascii="Arial" w:eastAsia="Arial" w:hAnsi="Arial" w:cs="Arial"/>
                <w:sz w:val="18"/>
                <w:szCs w:val="18"/>
              </w:rPr>
              <w:t>2,102</w:t>
            </w:r>
          </w:p>
        </w:tc>
        <w:tc>
          <w:tcPr>
            <w:tcW w:w="1697"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0.82%</w:t>
            </w:r>
          </w:p>
        </w:tc>
        <w:tc>
          <w:tcPr>
            <w:tcW w:w="267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c>
          <w:tcPr>
            <w:tcW w:w="204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r>
      <w:tr w:rsidR="00DF70CA" w:rsidRPr="00DE034B">
        <w:trPr>
          <w:trHeight w:val="520"/>
        </w:trPr>
        <w:tc>
          <w:tcPr>
            <w:tcW w:w="4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sz w:val="18"/>
                <w:szCs w:val="18"/>
              </w:rPr>
              <w:t>5</w:t>
            </w:r>
          </w:p>
        </w:tc>
        <w:tc>
          <w:tcPr>
            <w:tcW w:w="1979" w:type="dxa"/>
            <w:vAlign w:val="center"/>
          </w:tcPr>
          <w:p w:rsidR="00DF70CA" w:rsidRPr="00DE034B" w:rsidRDefault="00C4257B">
            <w:pPr>
              <w:widowControl w:val="0"/>
              <w:tabs>
                <w:tab w:val="center" w:pos="4680"/>
                <w:tab w:val="right" w:pos="9360"/>
              </w:tabs>
              <w:spacing w:before="120" w:after="120"/>
              <w:rPr>
                <w:rFonts w:ascii="Arial" w:eastAsia="Arial" w:hAnsi="Arial" w:cs="Arial"/>
                <w:sz w:val="18"/>
                <w:szCs w:val="18"/>
              </w:rPr>
            </w:pPr>
            <w:r w:rsidRPr="00DE034B">
              <w:rPr>
                <w:rFonts w:ascii="Arial" w:eastAsia="Arial" w:hAnsi="Arial" w:cs="Arial"/>
                <w:sz w:val="18"/>
                <w:szCs w:val="18"/>
              </w:rPr>
              <w:t>Contrato de Crédito SANTANDER 1</w:t>
            </w:r>
          </w:p>
        </w:tc>
        <w:tc>
          <w:tcPr>
            <w:tcW w:w="1544"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24/09/2019</w:t>
            </w:r>
          </w:p>
        </w:tc>
        <w:tc>
          <w:tcPr>
            <w:tcW w:w="1693"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25/06/2025</w:t>
            </w:r>
          </w:p>
        </w:tc>
        <w:tc>
          <w:tcPr>
            <w:tcW w:w="1127" w:type="dxa"/>
            <w:vAlign w:val="center"/>
          </w:tcPr>
          <w:p w:rsidR="00DF70CA" w:rsidRPr="00DE034B" w:rsidRDefault="00C4257B">
            <w:pPr>
              <w:spacing w:before="120" w:after="120"/>
              <w:jc w:val="center"/>
            </w:pPr>
            <w:r w:rsidRPr="00DE034B">
              <w:rPr>
                <w:rFonts w:ascii="Arial" w:eastAsia="Arial" w:hAnsi="Arial" w:cs="Arial"/>
                <w:sz w:val="18"/>
                <w:szCs w:val="18"/>
              </w:rPr>
              <w:t>2,102</w:t>
            </w:r>
          </w:p>
        </w:tc>
        <w:tc>
          <w:tcPr>
            <w:tcW w:w="1697"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4.27%</w:t>
            </w:r>
          </w:p>
        </w:tc>
        <w:tc>
          <w:tcPr>
            <w:tcW w:w="267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c>
          <w:tcPr>
            <w:tcW w:w="204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r>
      <w:tr w:rsidR="00DF70CA" w:rsidRPr="00DE034B">
        <w:trPr>
          <w:trHeight w:val="520"/>
        </w:trPr>
        <w:tc>
          <w:tcPr>
            <w:tcW w:w="497" w:type="dxa"/>
            <w:vAlign w:val="center"/>
          </w:tcPr>
          <w:p w:rsidR="00DF70CA" w:rsidRPr="00DE034B" w:rsidRDefault="00C4257B">
            <w:pPr>
              <w:widowControl w:val="0"/>
              <w:pBdr>
                <w:top w:val="nil"/>
                <w:left w:val="nil"/>
                <w:bottom w:val="nil"/>
                <w:right w:val="nil"/>
                <w:between w:val="nil"/>
              </w:pBdr>
              <w:tabs>
                <w:tab w:val="center" w:pos="4680"/>
                <w:tab w:val="right" w:pos="9360"/>
              </w:tabs>
              <w:spacing w:before="120" w:after="120"/>
              <w:rPr>
                <w:rFonts w:ascii="Arial" w:eastAsia="Arial" w:hAnsi="Arial" w:cs="Arial"/>
                <w:color w:val="000000"/>
                <w:sz w:val="18"/>
                <w:szCs w:val="18"/>
              </w:rPr>
            </w:pPr>
            <w:r w:rsidRPr="00DE034B">
              <w:rPr>
                <w:rFonts w:ascii="Arial" w:eastAsia="Arial" w:hAnsi="Arial" w:cs="Arial"/>
                <w:sz w:val="18"/>
                <w:szCs w:val="18"/>
              </w:rPr>
              <w:t>6</w:t>
            </w:r>
          </w:p>
        </w:tc>
        <w:tc>
          <w:tcPr>
            <w:tcW w:w="1979" w:type="dxa"/>
            <w:vAlign w:val="center"/>
          </w:tcPr>
          <w:p w:rsidR="00DF70CA" w:rsidRPr="00DE034B" w:rsidRDefault="00C4257B">
            <w:pPr>
              <w:widowControl w:val="0"/>
              <w:tabs>
                <w:tab w:val="center" w:pos="4680"/>
                <w:tab w:val="right" w:pos="9360"/>
              </w:tabs>
              <w:spacing w:before="120" w:after="120"/>
              <w:rPr>
                <w:rFonts w:ascii="Arial" w:eastAsia="Arial" w:hAnsi="Arial" w:cs="Arial"/>
                <w:sz w:val="18"/>
                <w:szCs w:val="18"/>
              </w:rPr>
            </w:pPr>
            <w:r w:rsidRPr="00DE034B">
              <w:rPr>
                <w:rFonts w:ascii="Arial" w:eastAsia="Arial" w:hAnsi="Arial" w:cs="Arial"/>
                <w:sz w:val="18"/>
                <w:szCs w:val="18"/>
              </w:rPr>
              <w:t>Contrato de Crédito Banorte 1</w:t>
            </w:r>
          </w:p>
        </w:tc>
        <w:tc>
          <w:tcPr>
            <w:tcW w:w="1544"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24/09/2019</w:t>
            </w:r>
          </w:p>
        </w:tc>
        <w:tc>
          <w:tcPr>
            <w:tcW w:w="1693"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25/06/2025</w:t>
            </w:r>
          </w:p>
        </w:tc>
        <w:tc>
          <w:tcPr>
            <w:tcW w:w="1127" w:type="dxa"/>
            <w:vAlign w:val="center"/>
          </w:tcPr>
          <w:p w:rsidR="00DF70CA" w:rsidRPr="00DE034B" w:rsidRDefault="00C4257B">
            <w:pPr>
              <w:spacing w:before="120" w:after="120"/>
              <w:jc w:val="center"/>
            </w:pPr>
            <w:r w:rsidRPr="00DE034B">
              <w:rPr>
                <w:rFonts w:ascii="Arial" w:eastAsia="Arial" w:hAnsi="Arial" w:cs="Arial"/>
                <w:sz w:val="18"/>
                <w:szCs w:val="18"/>
              </w:rPr>
              <w:t>2,102</w:t>
            </w:r>
          </w:p>
        </w:tc>
        <w:tc>
          <w:tcPr>
            <w:tcW w:w="1697" w:type="dxa"/>
            <w:vAlign w:val="center"/>
          </w:tcPr>
          <w:p w:rsidR="00DF70CA" w:rsidRPr="00DE034B" w:rsidRDefault="00C4257B">
            <w:pPr>
              <w:widowControl w:val="0"/>
              <w:tabs>
                <w:tab w:val="center" w:pos="4680"/>
                <w:tab w:val="right" w:pos="9360"/>
              </w:tabs>
              <w:spacing w:before="120" w:after="120"/>
              <w:jc w:val="center"/>
              <w:rPr>
                <w:rFonts w:ascii="Arial" w:eastAsia="Arial" w:hAnsi="Arial" w:cs="Arial"/>
                <w:sz w:val="18"/>
                <w:szCs w:val="18"/>
              </w:rPr>
            </w:pPr>
            <w:r w:rsidRPr="00DE034B">
              <w:rPr>
                <w:rFonts w:ascii="Arial" w:eastAsia="Arial" w:hAnsi="Arial" w:cs="Arial"/>
                <w:sz w:val="18"/>
                <w:szCs w:val="18"/>
              </w:rPr>
              <w:t>7.29%</w:t>
            </w:r>
          </w:p>
        </w:tc>
        <w:tc>
          <w:tcPr>
            <w:tcW w:w="267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c>
          <w:tcPr>
            <w:tcW w:w="2041" w:type="dxa"/>
            <w:vAlign w:val="center"/>
          </w:tcPr>
          <w:p w:rsidR="00DF70CA" w:rsidRPr="00DE034B" w:rsidRDefault="00DF70CA">
            <w:pPr>
              <w:widowControl w:val="0"/>
              <w:pBdr>
                <w:top w:val="nil"/>
                <w:left w:val="nil"/>
                <w:bottom w:val="nil"/>
                <w:right w:val="nil"/>
                <w:between w:val="nil"/>
              </w:pBdr>
              <w:tabs>
                <w:tab w:val="center" w:pos="4680"/>
                <w:tab w:val="right" w:pos="9360"/>
              </w:tabs>
              <w:spacing w:before="120" w:after="120"/>
              <w:jc w:val="center"/>
              <w:rPr>
                <w:rFonts w:ascii="Arial" w:eastAsia="Arial" w:hAnsi="Arial" w:cs="Arial"/>
                <w:color w:val="000000"/>
                <w:sz w:val="18"/>
                <w:szCs w:val="18"/>
              </w:rPr>
            </w:pPr>
          </w:p>
        </w:tc>
      </w:tr>
    </w:tbl>
    <w:p w:rsidR="00DF70CA" w:rsidRPr="00DE034B" w:rsidRDefault="00DF70CA">
      <w:pPr>
        <w:widowControl w:val="0"/>
        <w:pBdr>
          <w:top w:val="nil"/>
          <w:left w:val="nil"/>
          <w:bottom w:val="nil"/>
          <w:right w:val="nil"/>
          <w:between w:val="nil"/>
        </w:pBdr>
        <w:tabs>
          <w:tab w:val="center" w:pos="4680"/>
          <w:tab w:val="right" w:pos="9360"/>
        </w:tabs>
        <w:jc w:val="both"/>
        <w:rPr>
          <w:rFonts w:ascii="Arial" w:eastAsia="Arial" w:hAnsi="Arial" w:cs="Arial"/>
          <w:color w:val="000000"/>
          <w:sz w:val="22"/>
          <w:szCs w:val="22"/>
        </w:rPr>
      </w:pPr>
    </w:p>
    <w:p w:rsidR="00DF70CA" w:rsidRPr="00DE034B" w:rsidRDefault="00C4257B">
      <w:pPr>
        <w:widowControl w:val="0"/>
        <w:pBdr>
          <w:top w:val="nil"/>
          <w:left w:val="nil"/>
          <w:bottom w:val="nil"/>
          <w:right w:val="nil"/>
          <w:between w:val="nil"/>
        </w:pBdr>
        <w:tabs>
          <w:tab w:val="center" w:pos="4680"/>
          <w:tab w:val="right" w:pos="9360"/>
        </w:tabs>
        <w:jc w:val="both"/>
        <w:rPr>
          <w:rFonts w:ascii="Arial" w:eastAsia="Arial" w:hAnsi="Arial" w:cs="Arial"/>
          <w:color w:val="000000"/>
          <w:sz w:val="18"/>
          <w:szCs w:val="18"/>
        </w:rPr>
      </w:pPr>
      <w:r w:rsidRPr="00DE034B">
        <w:rPr>
          <w:rFonts w:ascii="Arial" w:eastAsia="Arial" w:hAnsi="Arial" w:cs="Arial"/>
          <w:color w:val="000000"/>
          <w:sz w:val="18"/>
          <w:szCs w:val="18"/>
        </w:rPr>
        <w:t>La vigencia de esta oferta es de hasta las 14:00 horas del 2</w:t>
      </w:r>
      <w:r w:rsidRPr="00DE034B">
        <w:rPr>
          <w:rFonts w:ascii="Arial" w:eastAsia="Arial" w:hAnsi="Arial" w:cs="Arial"/>
          <w:sz w:val="18"/>
          <w:szCs w:val="18"/>
        </w:rPr>
        <w:t>4</w:t>
      </w:r>
      <w:r w:rsidRPr="00DE034B">
        <w:rPr>
          <w:rFonts w:ascii="Arial" w:eastAsia="Arial" w:hAnsi="Arial" w:cs="Arial"/>
          <w:color w:val="000000"/>
          <w:sz w:val="18"/>
          <w:szCs w:val="18"/>
        </w:rPr>
        <w:t xml:space="preserve"> de Septiembre</w:t>
      </w:r>
      <w:r w:rsidRPr="00DE034B">
        <w:rPr>
          <w:rFonts w:ascii="Arial" w:eastAsia="Arial" w:hAnsi="Arial" w:cs="Arial"/>
          <w:color w:val="000000"/>
          <w:sz w:val="18"/>
          <w:szCs w:val="18"/>
        </w:rPr>
        <w:t xml:space="preserve"> de 2019, de conformidad con lo previsto en el numeral “vii” del inciso “o” de la Convocatoria al Proceso Competitivo mediante licitación pública No. 157/2019 de fecha 20</w:t>
      </w:r>
      <w:r w:rsidRPr="00DE034B">
        <w:rPr>
          <w:rFonts w:ascii="Arial" w:eastAsia="Arial" w:hAnsi="Arial" w:cs="Arial"/>
          <w:color w:val="000000"/>
          <w:sz w:val="18"/>
          <w:szCs w:val="18"/>
        </w:rPr>
        <w:t xml:space="preserve"> de septiembre</w:t>
      </w:r>
      <w:r w:rsidRPr="00DE034B">
        <w:rPr>
          <w:rFonts w:ascii="Arial" w:eastAsia="Arial" w:hAnsi="Arial" w:cs="Arial"/>
          <w:color w:val="000000"/>
          <w:sz w:val="18"/>
          <w:szCs w:val="18"/>
        </w:rPr>
        <w:t xml:space="preserve"> de 2019 para la contratación de Instrumentos Derivados.</w:t>
      </w:r>
    </w:p>
    <w:p w:rsidR="00DF70CA" w:rsidRPr="00DE034B" w:rsidRDefault="00DF70CA">
      <w:pPr>
        <w:widowControl w:val="0"/>
        <w:pBdr>
          <w:top w:val="nil"/>
          <w:left w:val="nil"/>
          <w:bottom w:val="nil"/>
          <w:right w:val="nil"/>
          <w:between w:val="nil"/>
        </w:pBdr>
        <w:tabs>
          <w:tab w:val="center" w:pos="4680"/>
          <w:tab w:val="right" w:pos="9360"/>
        </w:tabs>
        <w:jc w:val="both"/>
        <w:rPr>
          <w:rFonts w:ascii="Arial" w:eastAsia="Arial" w:hAnsi="Arial" w:cs="Arial"/>
          <w:color w:val="000000"/>
          <w:sz w:val="18"/>
          <w:szCs w:val="18"/>
        </w:rPr>
      </w:pPr>
    </w:p>
    <w:p w:rsidR="00DF70CA" w:rsidRPr="00DE034B" w:rsidRDefault="00C4257B">
      <w:pPr>
        <w:widowControl w:val="0"/>
        <w:pBdr>
          <w:top w:val="nil"/>
          <w:left w:val="nil"/>
          <w:bottom w:val="nil"/>
          <w:right w:val="nil"/>
          <w:between w:val="nil"/>
        </w:pBdr>
        <w:tabs>
          <w:tab w:val="center" w:pos="4680"/>
          <w:tab w:val="right" w:pos="9360"/>
        </w:tabs>
        <w:jc w:val="both"/>
        <w:rPr>
          <w:rFonts w:ascii="Arial" w:eastAsia="Arial" w:hAnsi="Arial" w:cs="Arial"/>
          <w:color w:val="000000"/>
          <w:sz w:val="18"/>
          <w:szCs w:val="18"/>
        </w:rPr>
      </w:pPr>
      <w:r w:rsidRPr="00DE034B">
        <w:rPr>
          <w:rFonts w:ascii="Arial" w:eastAsia="Arial" w:hAnsi="Arial" w:cs="Arial"/>
          <w:color w:val="000000"/>
          <w:sz w:val="18"/>
          <w:szCs w:val="18"/>
        </w:rPr>
        <w:t xml:space="preserve">En caso que alguna institución financiera desee presentar dos o más posturas para un mismo Contrato de Crédito, podrá agregar los renglones necesarios a la tabla. </w:t>
      </w:r>
    </w:p>
    <w:p w:rsidR="00DF70CA" w:rsidRPr="00DE034B" w:rsidRDefault="00DF70CA">
      <w:pPr>
        <w:widowControl w:val="0"/>
        <w:pBdr>
          <w:top w:val="nil"/>
          <w:left w:val="nil"/>
          <w:bottom w:val="nil"/>
          <w:right w:val="nil"/>
          <w:between w:val="nil"/>
        </w:pBdr>
        <w:tabs>
          <w:tab w:val="center" w:pos="4680"/>
          <w:tab w:val="right" w:pos="9360"/>
        </w:tabs>
        <w:jc w:val="center"/>
        <w:rPr>
          <w:rFonts w:ascii="Arial" w:eastAsia="Arial" w:hAnsi="Arial" w:cs="Arial"/>
          <w:b/>
          <w:color w:val="000000"/>
          <w:sz w:val="20"/>
          <w:szCs w:val="20"/>
        </w:rPr>
      </w:pPr>
    </w:p>
    <w:p w:rsidR="00DF70CA" w:rsidRPr="00DE034B" w:rsidRDefault="00C4257B">
      <w:pPr>
        <w:widowControl w:val="0"/>
        <w:pBdr>
          <w:top w:val="nil"/>
          <w:left w:val="nil"/>
          <w:bottom w:val="nil"/>
          <w:right w:val="nil"/>
          <w:between w:val="nil"/>
        </w:pBdr>
        <w:tabs>
          <w:tab w:val="center" w:pos="4680"/>
          <w:tab w:val="right" w:pos="9360"/>
        </w:tabs>
        <w:jc w:val="center"/>
        <w:rPr>
          <w:rFonts w:ascii="Arial" w:eastAsia="Arial" w:hAnsi="Arial" w:cs="Arial"/>
          <w:b/>
          <w:color w:val="000000"/>
          <w:sz w:val="20"/>
          <w:szCs w:val="20"/>
        </w:rPr>
      </w:pPr>
      <w:r w:rsidRPr="00DE034B">
        <w:rPr>
          <w:rFonts w:ascii="Arial" w:eastAsia="Arial" w:hAnsi="Arial" w:cs="Arial"/>
          <w:b/>
          <w:color w:val="000000"/>
          <w:sz w:val="20"/>
          <w:szCs w:val="20"/>
        </w:rPr>
        <w:t>Atentamente,</w:t>
      </w:r>
    </w:p>
    <w:p w:rsidR="00DF70CA" w:rsidRPr="00DE034B" w:rsidRDefault="00C4257B">
      <w:pPr>
        <w:widowControl w:val="0"/>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sidRPr="00DE034B">
        <w:rPr>
          <w:rFonts w:ascii="Arial" w:eastAsia="Arial" w:hAnsi="Arial" w:cs="Arial"/>
          <w:color w:val="000000"/>
          <w:sz w:val="20"/>
          <w:szCs w:val="20"/>
        </w:rPr>
        <w:t>(Denominación de la Institución Financiera Interesada)</w:t>
      </w:r>
    </w:p>
    <w:p w:rsidR="00DF70CA" w:rsidRPr="00DE034B" w:rsidRDefault="00DF70CA">
      <w:pPr>
        <w:widowControl w:val="0"/>
        <w:pBdr>
          <w:top w:val="nil"/>
          <w:left w:val="nil"/>
          <w:bottom w:val="nil"/>
          <w:right w:val="nil"/>
          <w:between w:val="nil"/>
        </w:pBdr>
        <w:tabs>
          <w:tab w:val="center" w:pos="4680"/>
          <w:tab w:val="right" w:pos="9360"/>
        </w:tabs>
        <w:jc w:val="center"/>
        <w:rPr>
          <w:rFonts w:ascii="Arial" w:eastAsia="Arial" w:hAnsi="Arial" w:cs="Arial"/>
          <w:color w:val="000000"/>
          <w:sz w:val="20"/>
          <w:szCs w:val="20"/>
        </w:rPr>
      </w:pPr>
    </w:p>
    <w:p w:rsidR="00DF70CA" w:rsidRPr="00DE034B" w:rsidRDefault="00DF70CA">
      <w:pPr>
        <w:widowControl w:val="0"/>
        <w:pBdr>
          <w:top w:val="nil"/>
          <w:left w:val="nil"/>
          <w:bottom w:val="nil"/>
          <w:right w:val="nil"/>
          <w:between w:val="nil"/>
        </w:pBdr>
        <w:tabs>
          <w:tab w:val="center" w:pos="4680"/>
          <w:tab w:val="right" w:pos="9360"/>
        </w:tabs>
        <w:jc w:val="center"/>
        <w:rPr>
          <w:rFonts w:ascii="Arial" w:eastAsia="Arial" w:hAnsi="Arial" w:cs="Arial"/>
          <w:color w:val="000000"/>
          <w:sz w:val="20"/>
          <w:szCs w:val="20"/>
        </w:rPr>
      </w:pPr>
    </w:p>
    <w:p w:rsidR="00DF70CA" w:rsidRDefault="00C4257B" w:rsidP="00DE034B">
      <w:pPr>
        <w:widowControl w:val="0"/>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sidRPr="00DE034B">
        <w:rPr>
          <w:rFonts w:ascii="Arial" w:eastAsia="Arial" w:hAnsi="Arial" w:cs="Arial"/>
          <w:color w:val="000000"/>
          <w:sz w:val="20"/>
          <w:szCs w:val="20"/>
        </w:rPr>
        <w:t>[Nombre y firma del o los representantes legales, según aplique]</w:t>
      </w:r>
      <w:bookmarkStart w:id="1" w:name="_30j0zll" w:colFirst="0" w:colLast="0"/>
      <w:bookmarkStart w:id="2" w:name="_GoBack"/>
      <w:bookmarkEnd w:id="1"/>
      <w:bookmarkEnd w:id="2"/>
    </w:p>
    <w:p w:rsidR="00DF70CA" w:rsidRDefault="00DF70CA">
      <w:pPr>
        <w:widowControl w:val="0"/>
        <w:pBdr>
          <w:top w:val="nil"/>
          <w:left w:val="nil"/>
          <w:bottom w:val="nil"/>
          <w:right w:val="nil"/>
          <w:between w:val="nil"/>
        </w:pBdr>
        <w:tabs>
          <w:tab w:val="center" w:pos="4680"/>
          <w:tab w:val="right" w:pos="9360"/>
        </w:tabs>
        <w:jc w:val="both"/>
        <w:rPr>
          <w:rFonts w:ascii="Arial" w:eastAsia="Arial" w:hAnsi="Arial" w:cs="Arial"/>
          <w:color w:val="000000"/>
          <w:sz w:val="20"/>
          <w:szCs w:val="20"/>
        </w:rPr>
      </w:pPr>
    </w:p>
    <w:sectPr w:rsidR="00DF70CA">
      <w:headerReference w:type="even" r:id="rId8"/>
      <w:headerReference w:type="default" r:id="rId9"/>
      <w:footerReference w:type="even" r:id="rId10"/>
      <w:footerReference w:type="default" r:id="rId11"/>
      <w:headerReference w:type="first" r:id="rId12"/>
      <w:footerReference w:type="first" r:id="rId13"/>
      <w:pgSz w:w="15840" w:h="12240"/>
      <w:pgMar w:top="1133" w:right="1418" w:bottom="1603" w:left="170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7B" w:rsidRDefault="00C4257B">
      <w:r>
        <w:separator/>
      </w:r>
    </w:p>
  </w:endnote>
  <w:endnote w:type="continuationSeparator" w:id="0">
    <w:p w:rsidR="00C4257B" w:rsidRDefault="00C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A" w:rsidRDefault="00DF70C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A" w:rsidRDefault="00C4257B">
    <w:pPr>
      <w:pBdr>
        <w:top w:val="nil"/>
        <w:left w:val="nil"/>
        <w:bottom w:val="nil"/>
        <w:right w:val="nil"/>
        <w:between w:val="nil"/>
      </w:pBdr>
      <w:tabs>
        <w:tab w:val="center" w:pos="4680"/>
        <w:tab w:val="right" w:pos="9360"/>
      </w:tabs>
      <w:jc w:val="right"/>
      <w:rPr>
        <w:color w:val="000000"/>
      </w:rPr>
    </w:pPr>
    <w:r>
      <w:fldChar w:fldCharType="begin"/>
    </w:r>
    <w:r>
      <w:instrText>PAGE</w:instrText>
    </w:r>
    <w:r w:rsidR="00DE034B">
      <w:fldChar w:fldCharType="separate"/>
    </w:r>
    <w:r w:rsidR="00DE034B">
      <w:rPr>
        <w:noProof/>
      </w:rPr>
      <w:t>1</w:t>
    </w:r>
    <w:r>
      <w:fldChar w:fldCharType="end"/>
    </w:r>
    <w:r>
      <w:t xml:space="preserve"> de </w:t>
    </w:r>
    <w:r>
      <w:fldChar w:fldCharType="begin"/>
    </w:r>
    <w:r>
      <w:instrText>NUMPAGES</w:instrText>
    </w:r>
    <w:r w:rsidR="00DE034B">
      <w:fldChar w:fldCharType="separate"/>
    </w:r>
    <w:r w:rsidR="00DE034B">
      <w:rPr>
        <w:noProof/>
      </w:rPr>
      <w:t>3</w:t>
    </w:r>
    <w:r>
      <w:fldChar w:fldCharType="end"/>
    </w:r>
    <w:r>
      <w:t xml:space="preserve"> de Formato de Oferta Swap refinanciamiento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A" w:rsidRDefault="00DF70C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7B" w:rsidRDefault="00C4257B">
      <w:r>
        <w:separator/>
      </w:r>
    </w:p>
  </w:footnote>
  <w:footnote w:type="continuationSeparator" w:id="0">
    <w:p w:rsidR="00C4257B" w:rsidRDefault="00C4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A" w:rsidRDefault="00DF70C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A" w:rsidRDefault="00DF70CA">
    <w:pPr>
      <w:pBdr>
        <w:top w:val="nil"/>
        <w:left w:val="nil"/>
        <w:bottom w:val="nil"/>
        <w:right w:val="nil"/>
        <w:between w:val="nil"/>
      </w:pBdr>
      <w:tabs>
        <w:tab w:val="center" w:pos="4680"/>
        <w:tab w:val="right" w:pos="9360"/>
      </w:tabs>
      <w:ind w:firstLine="3600"/>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A" w:rsidRDefault="00DF70C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59F4"/>
    <w:multiLevelType w:val="multilevel"/>
    <w:tmpl w:val="555AF5F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70CA"/>
    <w:rsid w:val="00C4257B"/>
    <w:rsid w:val="00DE034B"/>
    <w:rsid w:val="00DF7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color w:val="2E75B5"/>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Pr>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color w:val="2E75B5"/>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7865</Characters>
  <Application>Microsoft Office Word</Application>
  <DocSecurity>0</DocSecurity>
  <Lines>65</Lines>
  <Paragraphs>18</Paragraphs>
  <ScaleCrop>false</ScaleCrop>
  <Company>Secretaría de Finanzas</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Andres Fabian Muñiz Olivares</cp:lastModifiedBy>
  <cp:revision>2</cp:revision>
  <dcterms:created xsi:type="dcterms:W3CDTF">2019-09-19T20:40:00Z</dcterms:created>
  <dcterms:modified xsi:type="dcterms:W3CDTF">2019-09-19T20:40:00Z</dcterms:modified>
</cp:coreProperties>
</file>